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14:paraId="3BAFA0AF">
      <w:pPr>
        <w:rPr>
          <w:rFonts w:eastAsia="黑体" w:cs="Times New Roman"/>
        </w:rPr>
      </w:pPr>
    </w:p>
    <w:p w14:paraId="3E416801">
      <w:pPr>
        <w:rPr>
          <w:rFonts w:eastAsia="黑体" w:cs="Times New Roman"/>
        </w:rPr>
      </w:pPr>
    </w:p>
    <w:p w14:paraId="6A3C0352">
      <w:pPr>
        <w:rPr>
          <w:rFonts w:eastAsia="黑体" w:cs="Times New Roman"/>
        </w:rPr>
      </w:pPr>
    </w:p>
    <w:p w14:paraId="26FB4D1A">
      <w:pPr>
        <w:rPr>
          <w:rFonts w:eastAsia="黑体" w:cs="Times New Roman"/>
        </w:rPr>
      </w:pPr>
    </w:p>
    <w:p w14:paraId="5605FC57">
      <w:pPr>
        <w:rPr>
          <w:rFonts w:eastAsia="黑体" w:cs="Times New Roman"/>
        </w:rPr>
      </w:pPr>
    </w:p>
    <w:p w14:paraId="4246A1BE">
      <w:pPr>
        <w:rPr>
          <w:rFonts w:eastAsia="黑体" w:cs="Times New Roman"/>
        </w:rPr>
      </w:pPr>
    </w:p>
    <w:p w14:paraId="10725124">
      <w:pPr>
        <w:rPr>
          <w:rFonts w:eastAsia="黑体" w:cs="Times New Roman"/>
        </w:rPr>
      </w:pPr>
    </w:p>
    <w:p w14:paraId="7AA0223A">
      <w:pPr>
        <w:rPr>
          <w:rFonts w:eastAsia="黑体" w:cs="Times New Roman"/>
        </w:rPr>
      </w:pPr>
    </w:p>
    <w:p w14:paraId="5E9F8A7E">
      <w:pPr>
        <w:jc w:val="center"/>
        <w:rPr>
          <w:rFonts w:cs="Times New Roman"/>
        </w:rPr>
      </w:pPr>
      <w:r>
        <w:rPr>
          <w:rFonts w:cs="Times New Roman"/>
        </w:rPr>
        <w:t>中大</w:t>
      </w:r>
      <w:r>
        <w:rPr>
          <w:rFonts w:cs="Times New Roman" w:hint="eastAsia"/>
        </w:rPr>
        <w:t>办</w:t>
      </w:r>
      <w:r>
        <w:rPr>
          <w:rFonts w:cs="Times New Roman"/>
        </w:rPr>
        <w:t>〔</w:t>
      </w:r>
      <w:r>
        <w:rPr>
          <w:rFonts w:cs="Times New Roman" w:hint="eastAsia"/>
        </w:rPr>
        <w:t>202</w:t>
      </w:r>
      <w:r>
        <w:rPr>
          <w:rFonts w:cs="Times New Roman" w:hint="eastAsia"/>
          <w:lang w:val="en-US" w:eastAsia="zh-CN"/>
        </w:rPr>
        <w:t>6</w:t>
      </w:r>
      <w:r>
        <w:rPr>
          <w:rFonts w:cs="Times New Roman"/>
        </w:rPr>
        <w:t>〕</w:t>
      </w:r>
      <w:r>
        <w:rPr>
          <w:rFonts w:cs="Times New Roman" w:hint="eastAsia"/>
          <w:lang w:val="en-US" w:eastAsia="zh-CN"/>
        </w:rPr>
        <w:t>19</w:t>
      </w:r>
      <w:r>
        <w:rPr>
          <w:rFonts w:cs="Times New Roman"/>
        </w:rPr>
        <w:t>号</w:t>
      </w:r>
    </w:p>
    <w:p w14:paraId="4CAA5ABC">
      <w:pPr>
        <w:rPr>
          <w:rFonts w:eastAsia="黑体" w:cs="Times New Roman"/>
        </w:rPr>
      </w:pPr>
    </w:p>
    <w:p w14:paraId="34C7603F">
      <w:pPr>
        <w:rPr>
          <w:rFonts w:eastAsia="黑体" w:cs="Times New Roman"/>
        </w:rPr>
      </w:pPr>
      <w:r>
        <w:rPr>
          <w:rFonts w:eastAsia="黑体" w:cs="Times New Roman"/>
        </w:rPr>
        <mc:AlternateContent>
          <mc:Choice Requires="wps">
            <w:drawing>
              <wp:anchor distT="0" distB="0" distL="114300" distR="114300" simplePos="0" relativeHeight="251658240" behindDoc="0" locked="0" layoutInCell="1" allowOverlap="1">
                <wp:simplePos x="0" y="0"/>
                <wp:positionH relativeFrom="page">
                  <wp:posOffset>1008380</wp:posOffset>
                </wp:positionH>
                <wp:positionV relativeFrom="page">
                  <wp:posOffset>2520315</wp:posOffset>
                </wp:positionV>
                <wp:extent cx="5544185" cy="864235"/>
                <wp:effectExtent l="0" t="0" r="0" b="0"/>
                <wp:wrapNone/>
                <wp:docPr id="30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44185" cy="864235"/>
                        </a:xfrm>
                        <a:prstGeom prst="rect">
                          <a:avLst/>
                        </a:prstGeom>
                        <a:noFill/>
                        <a:ln w="9525">
                          <a:noFill/>
                          <a:miter lim="800000"/>
                        </a:ln>
                      </wps:spPr>
                      <wps:txbx>
                        <w:txbxContent>
                          <w:p>
                            <w:pPr>
                              <w:jc w:val="center"/>
                              <w:rPr>
                                <w:rFonts w:eastAsia="方正小标宋简体"/>
                                <w:bCs/>
                                <w:color w:val="FF0000"/>
                                <w:w w:val="80"/>
                                <w:sz w:val="110"/>
                              </w:rPr>
                            </w:pPr>
                            <w:r>
                              <w:rPr>
                                <w:rFonts w:eastAsia="方正小标宋简体"/>
                                <w:bCs/>
                                <w:color w:val="FF0000"/>
                                <w:w w:val="80"/>
                                <w:sz w:val="110"/>
                              </w:rPr>
                              <w:t>中</w:t>
                            </w:r>
                            <w:r>
                              <w:rPr>
                                <w:rFonts w:eastAsia="方正小标宋简体" w:hint="eastAsia"/>
                                <w:bCs/>
                                <w:color w:val="FF0000"/>
                                <w:w w:val="80"/>
                                <w:sz w:val="110"/>
                              </w:rPr>
                              <w:t xml:space="preserve"> </w:t>
                            </w:r>
                            <w:r>
                              <w:rPr>
                                <w:rFonts w:eastAsia="方正小标宋简体"/>
                                <w:bCs/>
                                <w:color w:val="FF0000"/>
                                <w:w w:val="80"/>
                                <w:sz w:val="110"/>
                              </w:rPr>
                              <w:t>山 大 学 文 件</w:t>
                            </w:r>
                          </w:p>
                          <w:p/>
                        </w:txbxContent>
                      </wps:txbx>
                      <wps:bodyPr rot="0" vert="horz" wrap="square" lIns="0" tIns="0" rIns="0" bIns="0" anchor="ctr" anchorCtr="0"/>
                    </wps:wsp>
                  </a:graphicData>
                </a:graphic>
              </wp:anchor>
            </w:drawing>
          </mc:Choice>
          <mc:Fallback>
            <w:pict>
              <v:shapetype id="_x0000_t202" coordsize="21600,21600" o:spt="202" path="m,l,21600r21600,l21600,xe">
                <v:stroke joinstyle="miter"/>
                <v:path gradientshapeok="t" o:connecttype="rect"/>
              </v:shapetype>
              <v:shape id="文本框 2" o:spid="_x0000_s1025" type="#_x0000_t202" style="width:436.55pt;height:68.05pt;margin-top:198.45pt;margin-left:79.4pt;mso-height-relative:page;mso-position-horizontal-relative:page;mso-position-vertical-relative:page;mso-width-relative:page;position:absolute;v-text-anchor:middle;z-index:251659264" coordsize="21600,21600" filled="f" stroked="f">
                <v:stroke joinstyle="miter"/>
                <o:lock v:ext="edit" aspectratio="f"/>
                <v:textbox inset="0,0,0,0">
                  <w:txbxContent>
                    <w:p w14:paraId="555EDD83">
                      <w:pPr>
                        <w:jc w:val="center"/>
                        <w:rPr>
                          <w:rFonts w:eastAsia="方正小标宋简体"/>
                          <w:bCs/>
                          <w:color w:val="FF0000"/>
                          <w:w w:val="80"/>
                          <w:sz w:val="110"/>
                        </w:rPr>
                      </w:pPr>
                      <w:r>
                        <w:rPr>
                          <w:rFonts w:eastAsia="方正小标宋简体"/>
                          <w:bCs/>
                          <w:color w:val="FF0000"/>
                          <w:w w:val="80"/>
                          <w:sz w:val="110"/>
                        </w:rPr>
                        <w:t>中</w:t>
                      </w:r>
                      <w:r>
                        <w:rPr>
                          <w:rFonts w:eastAsia="方正小标宋简体" w:hint="eastAsia"/>
                          <w:bCs/>
                          <w:color w:val="FF0000"/>
                          <w:w w:val="80"/>
                          <w:sz w:val="110"/>
                        </w:rPr>
                        <w:t xml:space="preserve"> </w:t>
                      </w:r>
                      <w:r>
                        <w:rPr>
                          <w:rFonts w:eastAsia="方正小标宋简体"/>
                          <w:bCs/>
                          <w:color w:val="FF0000"/>
                          <w:w w:val="80"/>
                          <w:sz w:val="110"/>
                        </w:rPr>
                        <w:t>山 大 学 文 件</w:t>
                      </w:r>
                    </w:p>
                    <w:p w14:paraId="70C3FE77"/>
                  </w:txbxContent>
                </v:textbox>
              </v:shape>
            </w:pict>
          </mc:Fallback>
        </mc:AlternateContent>
      </w:r>
      <w:r>
        <w:rPr>
          <w:rFonts w:eastAsia="黑体" w:cs="Times New Roman"/>
        </w:rP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4536440</wp:posOffset>
                </wp:positionV>
                <wp:extent cx="5544185" cy="0"/>
                <wp:effectExtent l="0" t="9525" r="0" b="9525"/>
                <wp:wrapNone/>
                <wp:docPr id="1" name="直接连接符 1"/>
                <wp:cNvGraphicFramePr/>
                <a:graphic xmlns:a="http://schemas.openxmlformats.org/drawingml/2006/main">
                  <a:graphicData uri="http://schemas.microsoft.com/office/word/2010/wordprocessingShape">
                    <wps:wsp xmlns:wps="http://schemas.microsoft.com/office/word/2010/wordprocessingShape">
                      <wps:cNvCnPr/>
                      <wps:spPr>
                        <a:xfrm>
                          <a:off x="0" y="0"/>
                          <a:ext cx="55440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style="mso-height-relative:page;mso-position-horizontal-relative:page;mso-position-vertical-relative:page;mso-width-relative:page;position:absolute;z-index:251661312" from="79.4pt,357.2pt" to="515.95pt,357.2pt" coordsize="21600,21600" stroked="t" strokecolor="red" strokeweight="1.5pt">
                <v:stroke joinstyle="round"/>
                <o:lock v:ext="edit" aspectratio="f"/>
              </v:line>
            </w:pict>
          </mc:Fallback>
        </mc:AlternateContent>
      </w:r>
    </w:p>
    <w:p w14:paraId="22C7421F">
      <w:pPr>
        <w:spacing w:line="560" w:lineRule="atLeast"/>
        <w:ind w:right="70" w:firstLine="387" w:firstLineChars="88"/>
        <w:jc w:val="center"/>
        <w:rPr>
          <w:rFonts w:eastAsia="方正小标宋简体" w:cs="Times New Roman"/>
          <w:sz w:val="44"/>
          <w:szCs w:val="44"/>
        </w:rPr>
      </w:pPr>
      <w:r>
        <w:rPr>
          <w:rFonts w:eastAsia="方正小标宋简体" w:cs="Times New Roman"/>
          <w:sz w:val="44"/>
        </w:rPr>
        <w:t>中山大学关于</w:t>
      </w:r>
      <w:r>
        <w:rPr>
          <w:rFonts w:eastAsia="方正小标宋简体" w:cs="Times New Roman" w:hint="eastAsia"/>
          <w:sz w:val="44"/>
        </w:rPr>
        <w:t>印发</w:t>
      </w:r>
      <w:r>
        <w:rPr>
          <w:rFonts w:eastAsia="方正小标宋简体" w:cs="Times New Roman"/>
          <w:sz w:val="44"/>
        </w:rPr>
        <w:t>《</w:t>
      </w:r>
      <w:r>
        <w:rPr>
          <w:rFonts w:eastAsia="方正小标宋简体" w:cs="Times New Roman" w:hint="eastAsia"/>
          <w:sz w:val="44"/>
        </w:rPr>
        <w:t>中山大学国际学生签证事务管理细则</w:t>
      </w:r>
      <w:r>
        <w:rPr>
          <w:rFonts w:eastAsia="方正小标宋简体" w:cs="Times New Roman"/>
          <w:sz w:val="44"/>
        </w:rPr>
        <w:t>》的通知</w:t>
      </w:r>
    </w:p>
    <w:p w14:paraId="781BE7D3">
      <w:pPr>
        <w:spacing w:line="560" w:lineRule="atLeast"/>
        <w:rPr>
          <w:rFonts w:cs="Times New Roman"/>
        </w:rPr>
      </w:pPr>
    </w:p>
    <w:p w14:paraId="5B23F0E9">
      <w:pPr>
        <w:spacing w:line="560" w:lineRule="exact"/>
        <w:jc w:val="both"/>
        <w:rPr>
          <w:rFonts w:cs="Times New Roman"/>
          <w:szCs w:val="32"/>
        </w:rPr>
      </w:pPr>
      <w:r>
        <w:rPr>
          <w:rFonts w:cs="Times New Roman" w:hint="eastAsia"/>
          <w:szCs w:val="32"/>
        </w:rPr>
        <w:t>校机关各部、处、室，各学院、直属系，各直属</w:t>
      </w:r>
      <w:bookmarkStart w:id="0" w:name="_GoBack"/>
      <w:r>
        <w:rPr>
          <w:rFonts w:cs="Times New Roman" w:hint="eastAsia"/>
          <w:szCs w:val="32"/>
        </w:rPr>
        <w:t>单位</w:t>
      </w:r>
      <w:bookmarkEnd w:id="0"/>
      <w:r>
        <w:rPr>
          <w:rFonts w:cs="Times New Roman" w:hint="eastAsia"/>
          <w:szCs w:val="32"/>
        </w:rPr>
        <w:t>，各附属医院（单位），产业集团，各有关科研机构：</w:t>
      </w:r>
    </w:p>
    <w:p w14:paraId="05EC518E">
      <w:pPr>
        <w:spacing w:line="560" w:lineRule="exact"/>
        <w:ind w:firstLine="720"/>
        <w:jc w:val="both"/>
        <w:rPr>
          <w:rFonts w:cs="Times New Roman"/>
          <w:szCs w:val="32"/>
        </w:rPr>
      </w:pPr>
      <w:r>
        <w:rPr>
          <w:rFonts w:cs="Times New Roman"/>
          <w:szCs w:val="32"/>
        </w:rPr>
        <w:t>《</w:t>
      </w:r>
      <w:r>
        <w:rPr>
          <w:rFonts w:cs="Times New Roman" w:hint="eastAsia"/>
          <w:szCs w:val="32"/>
        </w:rPr>
        <w:t>中山大学国际学生签证事务管理细则</w:t>
      </w:r>
      <w:r>
        <w:rPr>
          <w:rFonts w:cs="Times New Roman"/>
          <w:szCs w:val="32"/>
        </w:rPr>
        <w:t>》经2026年第</w:t>
      </w:r>
      <w:r>
        <w:rPr>
          <w:rFonts w:cs="Times New Roman" w:hint="eastAsia"/>
          <w:szCs w:val="32"/>
        </w:rPr>
        <w:t>23</w:t>
      </w:r>
      <w:r>
        <w:rPr>
          <w:rFonts w:cs="Times New Roman"/>
          <w:szCs w:val="32"/>
        </w:rPr>
        <w:t>次学校党委常委会会议审议通过，现予印发，请遵照执行。</w:t>
      </w:r>
    </w:p>
    <w:p w14:paraId="763C115B">
      <w:pPr>
        <w:spacing w:line="560" w:lineRule="exact"/>
        <w:jc w:val="both"/>
        <w:rPr>
          <w:rFonts w:cs="Times New Roman"/>
          <w:spacing w:val="20"/>
          <w:szCs w:val="32"/>
        </w:rPr>
      </w:pPr>
    </w:p>
    <w:p w14:paraId="55D2A4D9">
      <w:pPr>
        <w:spacing w:line="560" w:lineRule="exact"/>
        <w:jc w:val="both"/>
        <w:rPr>
          <w:rFonts w:cs="Times New Roman" w:hint="eastAsia"/>
          <w:spacing w:val="20"/>
          <w:szCs w:val="32"/>
        </w:rPr>
      </w:pPr>
    </w:p>
    <w:p w14:paraId="6A3FD009">
      <w:pPr>
        <w:spacing w:line="500" w:lineRule="exact"/>
        <w:ind w:right="1920" w:firstLine="0" w:rightChars="600" w:firstLineChars="0"/>
        <w:jc w:val="right"/>
        <w:rPr>
          <w:rFonts w:cs="Times New Roman"/>
          <w:color w:val="000000"/>
          <w:szCs w:val="24"/>
        </w:rPr>
      </w:pPr>
      <w:r>
        <w:rPr>
          <w:rFonts w:cs="Times New Roman" w:hint="eastAsia"/>
          <w:color w:val="000000"/>
          <w:szCs w:val="24"/>
        </w:rPr>
        <w:t>中山大学</w:t>
      </w:r>
    </w:p>
    <w:p w14:paraId="00688454">
      <w:pPr>
        <w:spacing w:line="500" w:lineRule="exact"/>
        <w:ind w:right="1280" w:firstLine="0" w:rightChars="400" w:firstLineChars="0"/>
        <w:jc w:val="right"/>
        <w:rPr>
          <w:rFonts w:asciiTheme="minorEastAsia" w:eastAsiaTheme="minorEastAsia" w:hAnsiTheme="minorEastAsia" w:cstheme="minorEastAsia"/>
          <w:b/>
          <w:bCs/>
          <w:sz w:val="44"/>
          <w:szCs w:val="44"/>
        </w:rPr>
      </w:pPr>
      <w:r>
        <w:rPr>
          <w:rFonts w:cs="Times New Roman"/>
          <w:color w:val="000000"/>
          <w:szCs w:val="24"/>
        </w:rPr>
        <w:t>2026年</w:t>
      </w:r>
      <w:r>
        <w:rPr>
          <w:rFonts w:cs="Times New Roman" w:hint="eastAsia"/>
          <w:color w:val="000000"/>
          <w:szCs w:val="24"/>
        </w:rPr>
        <w:t>9</w:t>
      </w:r>
      <w:r>
        <w:rPr>
          <w:rFonts w:cs="Times New Roman"/>
          <w:color w:val="000000"/>
          <w:szCs w:val="24"/>
        </w:rPr>
        <w:t>月</w:t>
      </w:r>
      <w:r>
        <w:rPr>
          <w:rFonts w:cs="Times New Roman" w:hint="eastAsia"/>
          <w:color w:val="000000"/>
          <w:szCs w:val="24"/>
          <w:lang w:val="en-US" w:eastAsia="zh-CN"/>
        </w:rPr>
        <w:t>29</w:t>
      </w:r>
      <w:r>
        <w:rPr>
          <w:rFonts w:cs="Times New Roman"/>
          <w:color w:val="000000"/>
          <w:szCs w:val="24"/>
        </w:rPr>
        <w:t>日</w:t>
      </w:r>
      <w:r>
        <w:rPr>
          <w:rFonts w:asciiTheme="minorEastAsia" w:eastAsiaTheme="minorEastAsia" w:hAnsiTheme="minorEastAsia" w:cstheme="minorEastAsia" w:hint="eastAsia"/>
          <w:b/>
          <w:bCs/>
          <w:sz w:val="44"/>
          <w:szCs w:val="44"/>
        </w:rPr>
        <w:br w:type="page"/>
      </w:r>
    </w:p>
    <w:p w14:paraId="02AFF137">
      <w:pPr>
        <w:jc w:val="center"/>
        <w:rPr>
          <w:rFonts w:ascii="方正小标宋简体" w:eastAsia="方正小标宋简体" w:hAnsiTheme="minorEastAsia" w:cstheme="minorEastAsia" w:hint="eastAsia"/>
          <w:b w:val="0"/>
          <w:bCs/>
          <w:sz w:val="44"/>
          <w:szCs w:val="44"/>
        </w:rPr>
      </w:pPr>
      <w:r>
        <w:rPr>
          <w:rFonts w:ascii="方正小标宋简体" w:eastAsia="方正小标宋简体" w:hAnsiTheme="minorEastAsia" w:cstheme="minorEastAsia" w:hint="eastAsia"/>
          <w:b w:val="0"/>
          <w:bCs/>
          <w:sz w:val="44"/>
          <w:szCs w:val="44"/>
        </w:rPr>
        <w:t>中山大学国际学生签证事务管理细则</w:t>
      </w:r>
    </w:p>
    <w:p w14:paraId="11ABF065">
      <w:pPr>
        <w:jc w:val="both"/>
        <w:rPr>
          <w:rFonts w:eastAsia="楷体" w:cs="Times New Roman"/>
          <w:szCs w:val="32"/>
        </w:rPr>
      </w:pPr>
    </w:p>
    <w:p w14:paraId="321B27EC">
      <w:pPr>
        <w:jc w:val="center"/>
        <w:rPr>
          <w:rFonts w:eastAsia="黑体" w:cs="Times New Roman"/>
          <w:szCs w:val="32"/>
        </w:rPr>
      </w:pPr>
      <w:r>
        <w:rPr>
          <w:rFonts w:eastAsia="黑体" w:cs="Times New Roman"/>
          <w:szCs w:val="32"/>
        </w:rPr>
        <w:t>第一章 总则</w:t>
      </w:r>
    </w:p>
    <w:p w14:paraId="0886C8CA">
      <w:pPr>
        <w:ind w:firstLine="640" w:firstLineChars="200"/>
        <w:jc w:val="both"/>
        <w:rPr>
          <w:rFonts w:cs="Times New Roman"/>
          <w:szCs w:val="32"/>
        </w:rPr>
      </w:pPr>
      <w:r>
        <w:rPr>
          <w:rFonts w:cs="Times New Roman"/>
          <w:b/>
          <w:szCs w:val="32"/>
        </w:rPr>
        <w:t>第一条</w:t>
      </w:r>
      <w:r>
        <w:rPr>
          <w:rFonts w:cs="Times New Roman"/>
          <w:szCs w:val="32"/>
        </w:rPr>
        <w:t xml:space="preserve">  为加强我校国际学生签证事务管理，根据《中华人民共和国国籍法》《中华人民共和国出境入境管理法》《</w:t>
      </w:r>
      <w:bookmarkStart w:id="1" w:name="OLE_LINK1"/>
      <w:r>
        <w:rPr>
          <w:rFonts w:cs="Times New Roman"/>
          <w:szCs w:val="32"/>
        </w:rPr>
        <w:t>中华人民共和国外国人入境出境管理条例</w:t>
      </w:r>
      <w:bookmarkEnd w:id="1"/>
      <w:r>
        <w:rPr>
          <w:rFonts w:cs="Times New Roman"/>
          <w:szCs w:val="32"/>
        </w:rPr>
        <w:t>》</w:t>
      </w:r>
      <w:r>
        <w:rPr>
          <w:rFonts w:hint="eastAsia"/>
        </w:rPr>
        <w:t>《国务院关于出境入境管理的规定》</w:t>
      </w:r>
      <w:r>
        <w:rPr>
          <w:rFonts w:cs="Times New Roman"/>
          <w:szCs w:val="32"/>
        </w:rPr>
        <w:t>《学校招收和培养国际学生管理办法》《来华留学生高等教育质量规范（试行）》</w:t>
      </w:r>
      <w:r>
        <w:rPr>
          <w:rFonts w:cs="Times New Roman" w:hint="eastAsia"/>
          <w:szCs w:val="32"/>
        </w:rPr>
        <w:t>《教育部关于规范我高等学校接受国际学生有关工作的通知》</w:t>
      </w:r>
      <w:r>
        <w:rPr>
          <w:rFonts w:cs="Times New Roman"/>
          <w:szCs w:val="32"/>
        </w:rPr>
        <w:t>等法律法规</w:t>
      </w:r>
      <w:r>
        <w:rPr>
          <w:rFonts w:cs="Times New Roman" w:hint="eastAsia"/>
          <w:szCs w:val="32"/>
        </w:rPr>
        <w:t>，以及</w:t>
      </w:r>
      <w:r>
        <w:rPr>
          <w:rFonts w:cs="Times New Roman"/>
          <w:szCs w:val="32"/>
        </w:rPr>
        <w:t>《中山大学国际学生管理办法》等规定，结合学校实际情况，制定本</w:t>
      </w:r>
      <w:r>
        <w:rPr>
          <w:rFonts w:cs="Times New Roman" w:hint="eastAsia"/>
          <w:szCs w:val="32"/>
        </w:rPr>
        <w:t>细则</w:t>
      </w:r>
      <w:r>
        <w:rPr>
          <w:rFonts w:cs="Times New Roman"/>
          <w:szCs w:val="32"/>
        </w:rPr>
        <w:t>。</w:t>
      </w:r>
    </w:p>
    <w:p w14:paraId="411D014E">
      <w:pPr>
        <w:ind w:firstLine="627" w:firstLineChars="196"/>
        <w:jc w:val="both"/>
        <w:rPr>
          <w:rFonts w:cs="Times New Roman"/>
          <w:szCs w:val="32"/>
        </w:rPr>
      </w:pPr>
      <w:r>
        <w:rPr>
          <w:rFonts w:cs="Times New Roman"/>
          <w:b/>
          <w:szCs w:val="32"/>
        </w:rPr>
        <w:t>第二条</w:t>
      </w:r>
      <w:r>
        <w:rPr>
          <w:rFonts w:cs="Times New Roman"/>
          <w:szCs w:val="32"/>
        </w:rPr>
        <w:t xml:space="preserve">  </w:t>
      </w:r>
      <w:r>
        <w:rPr>
          <w:rFonts w:cs="Times New Roman" w:hint="eastAsia"/>
          <w:szCs w:val="32"/>
        </w:rPr>
        <w:t>本细则适用于中山大学所有国际学生，含学历生和非学历生。</w:t>
      </w:r>
      <w:r>
        <w:rPr>
          <w:rFonts w:cs="Times New Roman"/>
          <w:szCs w:val="32"/>
        </w:rPr>
        <w:t>国际学生</w:t>
      </w:r>
      <w:r>
        <w:rPr>
          <w:rFonts w:cs="Times New Roman" w:hint="eastAsia"/>
          <w:szCs w:val="32"/>
        </w:rPr>
        <w:t>学历生，</w:t>
      </w:r>
      <w:r>
        <w:rPr>
          <w:rFonts w:cs="Times New Roman"/>
          <w:szCs w:val="32"/>
        </w:rPr>
        <w:t>是指不具有中国国籍且在我校接受学历教育的</w:t>
      </w:r>
      <w:r>
        <w:rPr>
          <w:rFonts w:cs="Times New Roman" w:hint="eastAsia"/>
          <w:szCs w:val="32"/>
        </w:rPr>
        <w:t>本科生、硕士研究生和博士研究生。国际学生非学历生，是指</w:t>
      </w:r>
      <w:r>
        <w:rPr>
          <w:rFonts w:cs="Times New Roman"/>
          <w:szCs w:val="32"/>
        </w:rPr>
        <w:t>不具有中国国籍且在我校接受非学历教育的</w:t>
      </w:r>
      <w:r>
        <w:rPr>
          <w:rFonts w:cs="Times New Roman" w:hint="eastAsia"/>
          <w:szCs w:val="32"/>
        </w:rPr>
        <w:t>学生，包括预科生、</w:t>
      </w:r>
      <w:r>
        <w:rPr>
          <w:rFonts w:cs="Times New Roman"/>
          <w:szCs w:val="32"/>
        </w:rPr>
        <w:t>交换生</w:t>
      </w:r>
      <w:r>
        <w:rPr>
          <w:rFonts w:cs="Times New Roman" w:hint="eastAsia"/>
          <w:szCs w:val="32"/>
        </w:rPr>
        <w:t>、</w:t>
      </w:r>
      <w:r>
        <w:rPr>
          <w:rFonts w:cs="Times New Roman"/>
          <w:szCs w:val="32"/>
        </w:rPr>
        <w:t>进修生</w:t>
      </w:r>
      <w:r>
        <w:rPr>
          <w:rFonts w:cs="Times New Roman" w:hint="eastAsia"/>
          <w:szCs w:val="32"/>
        </w:rPr>
        <w:t>、短期项目生和暑期学校项目生等</w:t>
      </w:r>
      <w:r>
        <w:rPr>
          <w:rFonts w:cs="Times New Roman"/>
          <w:szCs w:val="32"/>
        </w:rPr>
        <w:t>。</w:t>
      </w:r>
    </w:p>
    <w:p w14:paraId="1942262B">
      <w:pPr>
        <w:ind w:firstLine="640" w:firstLineChars="200"/>
        <w:jc w:val="both"/>
        <w:rPr>
          <w:rFonts w:cs="Times New Roman"/>
          <w:bCs/>
          <w:szCs w:val="32"/>
        </w:rPr>
      </w:pPr>
      <w:r>
        <w:rPr>
          <w:rFonts w:cs="Times New Roman"/>
          <w:b/>
          <w:szCs w:val="32"/>
        </w:rPr>
        <w:t>第三条</w:t>
      </w:r>
      <w:r>
        <w:rPr>
          <w:rFonts w:cs="Times New Roman"/>
          <w:szCs w:val="32"/>
        </w:rPr>
        <w:t xml:space="preserve">  学校对国际学生实施与中国学生趋同化</w:t>
      </w:r>
      <w:r>
        <w:rPr>
          <w:rFonts w:ascii="仿宋_GB2312" w:hAnsi="仿宋_GB2312" w:cs="仿宋_GB2312" w:hint="eastAsia"/>
          <w:szCs w:val="32"/>
        </w:rPr>
        <w:t>的“校院二级管理”模式。</w:t>
      </w:r>
      <w:r>
        <w:rPr>
          <w:rFonts w:cs="Times New Roman" w:hint="eastAsia"/>
          <w:szCs w:val="32"/>
        </w:rPr>
        <w:t>国际合作与交流处</w:t>
      </w:r>
      <w:r>
        <w:rPr>
          <w:rFonts w:cs="Times New Roman"/>
          <w:szCs w:val="32"/>
        </w:rPr>
        <w:t>统筹负责国际学生签证事务管理</w:t>
      </w:r>
      <w:r>
        <w:rPr>
          <w:rFonts w:cs="Times New Roman" w:hint="eastAsia"/>
          <w:szCs w:val="32"/>
        </w:rPr>
        <w:t>；党委学生工作部、总务部、党委保卫部（保卫处）等职能部门在各自职责范围内协同做好国际学生签证事务管理；</w:t>
      </w:r>
      <w:r>
        <w:rPr>
          <w:rFonts w:cs="Times New Roman"/>
          <w:szCs w:val="32"/>
        </w:rPr>
        <w:t>培养单位（</w:t>
      </w:r>
      <w:r>
        <w:rPr>
          <w:rFonts w:cs="Times New Roman" w:hint="eastAsia"/>
          <w:szCs w:val="32"/>
        </w:rPr>
        <w:t>包含</w:t>
      </w:r>
      <w:r>
        <w:rPr>
          <w:rFonts w:cs="Times New Roman"/>
          <w:szCs w:val="32"/>
        </w:rPr>
        <w:t>各学院、直属系、附属医院）</w:t>
      </w:r>
      <w:r>
        <w:rPr>
          <w:rFonts w:cs="Times New Roman" w:hint="eastAsia"/>
          <w:szCs w:val="32"/>
        </w:rPr>
        <w:t>负责本单位国际学生签证</w:t>
      </w:r>
      <w:r>
        <w:rPr>
          <w:rFonts w:cs="Times New Roman"/>
          <w:szCs w:val="32"/>
        </w:rPr>
        <w:t>核查、督促办理等具体</w:t>
      </w:r>
      <w:r>
        <w:rPr>
          <w:rFonts w:cs="Times New Roman" w:hint="eastAsia"/>
          <w:szCs w:val="32"/>
        </w:rPr>
        <w:t>工作。</w:t>
      </w:r>
    </w:p>
    <w:p w14:paraId="270E805E">
      <w:pPr>
        <w:rPr>
          <w:rFonts w:eastAsia="黑体" w:cs="Times New Roman"/>
          <w:szCs w:val="32"/>
        </w:rPr>
      </w:pPr>
      <w:r>
        <w:rPr>
          <w:rFonts w:eastAsia="黑体" w:cs="Times New Roman"/>
          <w:szCs w:val="32"/>
        </w:rPr>
        <w:br w:type="page"/>
      </w:r>
    </w:p>
    <w:p w14:paraId="110132C7">
      <w:pPr>
        <w:jc w:val="center"/>
        <w:rPr>
          <w:rFonts w:eastAsia="黑体" w:cs="Times New Roman"/>
          <w:szCs w:val="32"/>
        </w:rPr>
      </w:pPr>
      <w:r>
        <w:rPr>
          <w:rFonts w:eastAsia="黑体" w:cs="Times New Roman"/>
          <w:szCs w:val="32"/>
        </w:rPr>
        <w:t>第</w:t>
      </w:r>
      <w:r>
        <w:rPr>
          <w:rFonts w:eastAsia="黑体" w:cs="Times New Roman" w:hint="eastAsia"/>
          <w:szCs w:val="32"/>
        </w:rPr>
        <w:t>二</w:t>
      </w:r>
      <w:r>
        <w:rPr>
          <w:rFonts w:eastAsia="黑体" w:cs="Times New Roman"/>
          <w:szCs w:val="32"/>
        </w:rPr>
        <w:t xml:space="preserve">章 </w:t>
      </w:r>
      <w:r>
        <w:rPr>
          <w:rFonts w:eastAsia="黑体" w:cs="Times New Roman" w:hint="eastAsia"/>
          <w:szCs w:val="32"/>
        </w:rPr>
        <w:t>签证、停留居留许可办理</w:t>
      </w:r>
    </w:p>
    <w:p w14:paraId="1A3950CA">
      <w:pPr>
        <w:ind w:firstLine="640" w:firstLineChars="200"/>
        <w:jc w:val="both"/>
        <w:rPr>
          <w:rFonts w:cs="Times New Roman"/>
          <w:szCs w:val="32"/>
        </w:rPr>
      </w:pPr>
      <w:r>
        <w:rPr>
          <w:rFonts w:cs="Times New Roman"/>
          <w:b/>
          <w:szCs w:val="32"/>
        </w:rPr>
        <w:t>第</w:t>
      </w:r>
      <w:r>
        <w:rPr>
          <w:rFonts w:cs="Times New Roman" w:hint="eastAsia"/>
          <w:b/>
          <w:szCs w:val="32"/>
        </w:rPr>
        <w:t>四</w:t>
      </w:r>
      <w:r>
        <w:rPr>
          <w:rFonts w:cs="Times New Roman"/>
          <w:b/>
          <w:szCs w:val="32"/>
        </w:rPr>
        <w:t>条</w:t>
      </w:r>
      <w:r>
        <w:rPr>
          <w:rFonts w:cs="Times New Roman" w:hint="eastAsia"/>
          <w:b/>
          <w:szCs w:val="32"/>
        </w:rPr>
        <w:t xml:space="preserve">  </w:t>
      </w:r>
      <w:r>
        <w:rPr>
          <w:rFonts w:cs="Times New Roman"/>
          <w:szCs w:val="32"/>
        </w:rPr>
        <w:t>国际学生新生须在入境来校学习前，根据自身学习期限向中国驻外使馆、领馆或者外交部委托的其他驻外机构申请办理有效入境签证。其中国际</w:t>
      </w:r>
      <w:r>
        <w:rPr>
          <w:rFonts w:cs="Times New Roman" w:hint="eastAsia"/>
          <w:szCs w:val="32"/>
        </w:rPr>
        <w:t>学生非学历新生来华学习所需签证的证明材料，须由所属培养单位提前</w:t>
      </w:r>
      <w:r>
        <w:rPr>
          <w:rFonts w:cs="Times New Roman"/>
          <w:szCs w:val="32"/>
        </w:rPr>
        <w:t>向</w:t>
      </w:r>
      <w:r>
        <w:rPr>
          <w:rFonts w:cs="Times New Roman" w:hint="eastAsia"/>
          <w:szCs w:val="32"/>
        </w:rPr>
        <w:t>国际合作与交流处</w:t>
      </w:r>
      <w:r>
        <w:rPr>
          <w:rFonts w:cs="Times New Roman"/>
          <w:szCs w:val="32"/>
        </w:rPr>
        <w:t>申请</w:t>
      </w:r>
      <w:r>
        <w:rPr>
          <w:rFonts w:cs="Times New Roman" w:hint="eastAsia"/>
          <w:szCs w:val="32"/>
        </w:rPr>
        <w:t>办理</w:t>
      </w:r>
      <w:r>
        <w:rPr>
          <w:rFonts w:cs="Times New Roman"/>
          <w:szCs w:val="32"/>
        </w:rPr>
        <w:t>。</w:t>
      </w:r>
    </w:p>
    <w:p w14:paraId="107606FD">
      <w:pPr>
        <w:ind w:firstLine="640" w:firstLineChars="200"/>
        <w:jc w:val="both"/>
        <w:rPr>
          <w:rFonts w:cs="Times New Roman"/>
          <w:szCs w:val="32"/>
        </w:rPr>
      </w:pPr>
      <w:r>
        <w:rPr>
          <w:rFonts w:cs="Times New Roman"/>
          <w:szCs w:val="32"/>
        </w:rPr>
        <w:t>申请入境签证所需学校出具材料按学校国际学生签证申请指南要求办理。</w:t>
      </w:r>
    </w:p>
    <w:p w14:paraId="5F282755">
      <w:pPr>
        <w:ind w:firstLine="640" w:firstLineChars="200"/>
        <w:jc w:val="both"/>
        <w:rPr>
          <w:rFonts w:cs="Times New Roman"/>
          <w:szCs w:val="32"/>
        </w:rPr>
      </w:pPr>
      <w:r>
        <w:rPr>
          <w:rFonts w:cs="Times New Roman"/>
          <w:b/>
          <w:szCs w:val="32"/>
        </w:rPr>
        <w:t>第</w:t>
      </w:r>
      <w:r>
        <w:rPr>
          <w:rFonts w:cs="Times New Roman" w:hint="eastAsia"/>
          <w:b/>
          <w:szCs w:val="32"/>
        </w:rPr>
        <w:t>五条</w:t>
      </w:r>
      <w:r>
        <w:rPr>
          <w:rFonts w:cs="Times New Roman" w:hint="eastAsia"/>
          <w:bCs/>
          <w:szCs w:val="32"/>
        </w:rPr>
        <w:t xml:space="preserve">  </w:t>
      </w:r>
      <w:r>
        <w:rPr>
          <w:rFonts w:cs="Times New Roman"/>
          <w:szCs w:val="32"/>
        </w:rPr>
        <w:t>国际学生新生持有效入境签证在学校规定时间内到培养单位报到、注册。其中国际学生学历</w:t>
      </w:r>
      <w:r>
        <w:rPr>
          <w:rFonts w:cs="Times New Roman" w:hint="eastAsia"/>
          <w:szCs w:val="32"/>
        </w:rPr>
        <w:t>生</w:t>
      </w:r>
      <w:r>
        <w:rPr>
          <w:rFonts w:cs="Times New Roman"/>
          <w:szCs w:val="32"/>
        </w:rPr>
        <w:t>新生须</w:t>
      </w:r>
      <w:r>
        <w:rPr>
          <w:rFonts w:cs="Times New Roman" w:hint="eastAsia"/>
          <w:szCs w:val="32"/>
        </w:rPr>
        <w:t>先行前往国际合作与交流处</w:t>
      </w:r>
      <w:r>
        <w:rPr>
          <w:rFonts w:cs="Times New Roman"/>
          <w:szCs w:val="32"/>
        </w:rPr>
        <w:t>接受签证状态审核</w:t>
      </w:r>
      <w:r>
        <w:rPr>
          <w:rFonts w:cs="Times New Roman" w:hint="eastAsia"/>
          <w:szCs w:val="32"/>
        </w:rPr>
        <w:t>并取得相应审核合格证明</w:t>
      </w:r>
      <w:r>
        <w:rPr>
          <w:rFonts w:cs="Times New Roman"/>
          <w:szCs w:val="32"/>
        </w:rPr>
        <w:t>。培养单位负责核实国际学生签证信息</w:t>
      </w:r>
      <w:r>
        <w:rPr>
          <w:rFonts w:cs="Times New Roman" w:hint="eastAsia"/>
          <w:szCs w:val="32"/>
        </w:rPr>
        <w:t>并完成</w:t>
      </w:r>
      <w:r>
        <w:rPr>
          <w:rFonts w:cs="Times New Roman"/>
          <w:szCs w:val="32"/>
        </w:rPr>
        <w:t>归档</w:t>
      </w:r>
      <w:r>
        <w:rPr>
          <w:rFonts w:cs="Times New Roman" w:hint="eastAsia"/>
          <w:szCs w:val="32"/>
        </w:rPr>
        <w:t>工作。签证状态审核未获通过的国际学生，培养单位不得受理其报到申请。</w:t>
      </w:r>
    </w:p>
    <w:p w14:paraId="4BF48AA9">
      <w:pPr>
        <w:ind w:firstLine="640" w:firstLineChars="200"/>
        <w:jc w:val="both"/>
        <w:rPr>
          <w:rFonts w:cs="Times New Roman"/>
          <w:szCs w:val="32"/>
        </w:rPr>
      </w:pPr>
      <w:r>
        <w:rPr>
          <w:rFonts w:cs="Times New Roman"/>
          <w:szCs w:val="32"/>
        </w:rPr>
        <w:t>学校</w:t>
      </w:r>
      <w:r>
        <w:rPr>
          <w:rFonts w:cs="Times New Roman" w:hint="eastAsia"/>
          <w:szCs w:val="32"/>
        </w:rPr>
        <w:t>原则上</w:t>
      </w:r>
      <w:r>
        <w:rPr>
          <w:rFonts w:cs="Times New Roman"/>
          <w:szCs w:val="32"/>
        </w:rPr>
        <w:t>不接</w:t>
      </w:r>
      <w:r>
        <w:rPr>
          <w:rFonts w:cs="Times New Roman" w:hint="eastAsia"/>
          <w:szCs w:val="32"/>
        </w:rPr>
        <w:t>收</w:t>
      </w:r>
      <w:r>
        <w:rPr>
          <w:rFonts w:cs="Times New Roman"/>
          <w:szCs w:val="32"/>
        </w:rPr>
        <w:t>持非X类签证或非学习类居留证件的国际学生在校学习。</w:t>
      </w:r>
    </w:p>
    <w:p w14:paraId="7E68EF99">
      <w:pPr>
        <w:ind w:firstLine="640" w:firstLineChars="200"/>
        <w:jc w:val="both"/>
        <w:rPr>
          <w:rFonts w:cs="Times New Roman"/>
          <w:szCs w:val="32"/>
        </w:rPr>
      </w:pPr>
      <w:r>
        <w:rPr>
          <w:rFonts w:cs="Times New Roman"/>
          <w:b/>
          <w:szCs w:val="32"/>
        </w:rPr>
        <w:t>第</w:t>
      </w:r>
      <w:r>
        <w:rPr>
          <w:rFonts w:cs="Times New Roman" w:hint="eastAsia"/>
          <w:b/>
          <w:szCs w:val="32"/>
        </w:rPr>
        <w:t>六</w:t>
      </w:r>
      <w:r>
        <w:rPr>
          <w:rFonts w:cs="Times New Roman"/>
          <w:b/>
          <w:szCs w:val="32"/>
        </w:rPr>
        <w:t>条</w:t>
      </w:r>
      <w:r>
        <w:rPr>
          <w:rFonts w:cs="Times New Roman" w:hint="eastAsia"/>
          <w:szCs w:val="32"/>
        </w:rPr>
        <w:t xml:space="preserve">  国际学生新生完成报到注册后，须按学校国际学生签证申请指南要求，分情形</w:t>
      </w:r>
      <w:r>
        <w:rPr>
          <w:rFonts w:cs="Times New Roman"/>
          <w:szCs w:val="32"/>
        </w:rPr>
        <w:t>向公安机关出入境管理机构申请变更</w:t>
      </w:r>
      <w:r>
        <w:rPr>
          <w:rFonts w:cs="Times New Roman" w:hint="eastAsia"/>
          <w:szCs w:val="32"/>
        </w:rPr>
        <w:t>签证或换发居留许可：</w:t>
      </w:r>
    </w:p>
    <w:p w14:paraId="11B2EF07">
      <w:pPr>
        <w:numPr>
          <w:ilvl w:val="12"/>
          <w:numId w:val="0"/>
        </w:numPr>
        <w:ind w:firstLine="640" w:firstLineChars="200"/>
        <w:jc w:val="both"/>
        <w:rPr>
          <w:rFonts w:cs="Times New Roman"/>
          <w:szCs w:val="32"/>
        </w:rPr>
      </w:pPr>
      <w:r>
        <w:rPr>
          <w:rFonts w:cs="Times New Roman" w:hint="eastAsia"/>
          <w:szCs w:val="32"/>
        </w:rPr>
        <w:t>（一）持</w:t>
      </w:r>
      <w:r>
        <w:rPr>
          <w:rFonts w:cs="Times New Roman"/>
          <w:szCs w:val="32"/>
        </w:rPr>
        <w:t>X</w:t>
      </w:r>
      <w:r>
        <w:rPr>
          <w:rFonts w:cs="Times New Roman" w:hint="eastAsia"/>
          <w:szCs w:val="32"/>
        </w:rPr>
        <w:t>1字</w:t>
      </w:r>
      <w:r>
        <w:rPr>
          <w:rFonts w:cs="Times New Roman"/>
          <w:szCs w:val="32"/>
        </w:rPr>
        <w:t>签证</w:t>
      </w:r>
      <w:r>
        <w:rPr>
          <w:rFonts w:cs="Times New Roman" w:hint="eastAsia"/>
          <w:szCs w:val="32"/>
        </w:rPr>
        <w:t>的国际学生，须</w:t>
      </w:r>
      <w:r>
        <w:rPr>
          <w:rFonts w:cs="Times New Roman"/>
          <w:szCs w:val="32"/>
        </w:rPr>
        <w:t>携带相关材料在入境之日起</w:t>
      </w:r>
      <w:r>
        <w:rPr>
          <w:rFonts w:cs="Times New Roman" w:hint="eastAsia"/>
          <w:szCs w:val="32"/>
        </w:rPr>
        <w:t>的</w:t>
      </w:r>
      <w:r>
        <w:rPr>
          <w:rFonts w:cs="Times New Roman"/>
          <w:szCs w:val="32"/>
        </w:rPr>
        <w:t>三十日内办理</w:t>
      </w:r>
      <w:r>
        <w:rPr>
          <w:rFonts w:cs="Times New Roman" w:hint="eastAsia"/>
          <w:szCs w:val="32"/>
        </w:rPr>
        <w:t>学习类居留许可。</w:t>
      </w:r>
    </w:p>
    <w:p w14:paraId="1EFC1297">
      <w:pPr>
        <w:numPr>
          <w:ilvl w:val="12"/>
          <w:numId w:val="0"/>
        </w:numPr>
        <w:ind w:firstLine="640" w:firstLineChars="200"/>
        <w:jc w:val="both"/>
        <w:rPr>
          <w:rFonts w:cs="Times New Roman"/>
          <w:szCs w:val="32"/>
        </w:rPr>
      </w:pPr>
      <w:r>
        <w:rPr>
          <w:rFonts w:cs="Times New Roman" w:hint="eastAsia"/>
          <w:szCs w:val="32"/>
        </w:rPr>
        <w:t>（二）持X2字签证的国际学生，如需多次出入境，须</w:t>
      </w:r>
      <w:r>
        <w:rPr>
          <w:rFonts w:cs="Times New Roman"/>
          <w:szCs w:val="32"/>
        </w:rPr>
        <w:t>携带相关材料申请变更</w:t>
      </w:r>
      <w:r>
        <w:rPr>
          <w:rFonts w:cs="Times New Roman" w:hint="eastAsia"/>
          <w:szCs w:val="32"/>
        </w:rPr>
        <w:t>X2字签证加注入境次数。</w:t>
      </w:r>
    </w:p>
    <w:p w14:paraId="43F44291">
      <w:pPr>
        <w:numPr>
          <w:ilvl w:val="12"/>
          <w:numId w:val="0"/>
        </w:numPr>
        <w:ind w:firstLine="640" w:firstLineChars="200"/>
        <w:jc w:val="both"/>
        <w:rPr>
          <w:rFonts w:cs="Times New Roman"/>
          <w:szCs w:val="32"/>
        </w:rPr>
      </w:pPr>
      <w:r>
        <w:rPr>
          <w:rFonts w:cs="Times New Roman" w:hint="eastAsia"/>
          <w:szCs w:val="32"/>
        </w:rPr>
        <w:t>（三）</w:t>
      </w:r>
      <w:r>
        <w:rPr>
          <w:rFonts w:cs="Times New Roman"/>
          <w:szCs w:val="32"/>
        </w:rPr>
        <w:t>持非X</w:t>
      </w:r>
      <w:r>
        <w:rPr>
          <w:rFonts w:cs="Times New Roman" w:hint="eastAsia"/>
          <w:szCs w:val="32"/>
        </w:rPr>
        <w:t>字</w:t>
      </w:r>
      <w:r>
        <w:rPr>
          <w:rFonts w:cs="Times New Roman"/>
          <w:szCs w:val="32"/>
        </w:rPr>
        <w:t>签证</w:t>
      </w:r>
      <w:r>
        <w:rPr>
          <w:rFonts w:cs="Times New Roman" w:hint="eastAsia"/>
          <w:szCs w:val="32"/>
        </w:rPr>
        <w:t>的国际学生，须按拟居留地公安机关出入境管理部门的规定和要求办理相关手续。</w:t>
      </w:r>
    </w:p>
    <w:p w14:paraId="7F8B6EC3">
      <w:pPr>
        <w:numPr>
          <w:ilvl w:val="12"/>
          <w:numId w:val="0"/>
        </w:numPr>
        <w:ind w:firstLine="640" w:firstLineChars="200"/>
        <w:jc w:val="both"/>
        <w:rPr>
          <w:rFonts w:cs="Times New Roman"/>
          <w:szCs w:val="32"/>
        </w:rPr>
      </w:pPr>
      <w:r>
        <w:rPr>
          <w:rFonts w:cs="Times New Roman" w:hint="eastAsia"/>
          <w:b/>
          <w:bCs/>
          <w:szCs w:val="32"/>
        </w:rPr>
        <w:t>第七条</w:t>
      </w:r>
      <w:r>
        <w:rPr>
          <w:rFonts w:cs="Times New Roman" w:hint="eastAsia"/>
          <w:szCs w:val="32"/>
        </w:rPr>
        <w:t xml:space="preserve">  符合以下情形之一的国际学生，无需办理学习类居留许可：</w:t>
      </w:r>
    </w:p>
    <w:p w14:paraId="513BF48E">
      <w:pPr>
        <w:numPr>
          <w:ilvl w:val="12"/>
          <w:numId w:val="0"/>
        </w:numPr>
        <w:ind w:firstLine="640" w:firstLineChars="200"/>
        <w:jc w:val="both"/>
        <w:rPr>
          <w:rFonts w:cs="Times New Roman"/>
          <w:szCs w:val="32"/>
        </w:rPr>
      </w:pPr>
      <w:r>
        <w:rPr>
          <w:rFonts w:cs="Times New Roman" w:hint="eastAsia"/>
          <w:szCs w:val="32"/>
        </w:rPr>
        <w:t>（一）已取得永久居留资格的国际学生，凭永久居留证件可在中国境内居留学习。</w:t>
      </w:r>
    </w:p>
    <w:p w14:paraId="7FC5171B">
      <w:pPr>
        <w:numPr>
          <w:ilvl w:val="12"/>
          <w:numId w:val="0"/>
        </w:numPr>
        <w:ind w:firstLine="640" w:firstLineChars="200"/>
        <w:jc w:val="both"/>
        <w:rPr>
          <w:rFonts w:cs="Times New Roman"/>
          <w:szCs w:val="32"/>
        </w:rPr>
      </w:pPr>
      <w:r>
        <w:rPr>
          <w:rFonts w:cs="Times New Roman" w:hint="eastAsia"/>
          <w:szCs w:val="32"/>
        </w:rPr>
        <w:t>（二）持X2字签证的国际学生，学习期限未超出X2字签证有效期限的。</w:t>
      </w:r>
    </w:p>
    <w:p w14:paraId="72AB766F">
      <w:pPr>
        <w:ind w:firstLine="640" w:firstLineChars="200"/>
        <w:jc w:val="both"/>
        <w:rPr>
          <w:rFonts w:cs="Times New Roman"/>
          <w:szCs w:val="32"/>
        </w:rPr>
      </w:pPr>
      <w:r>
        <w:rPr>
          <w:rFonts w:cs="Times New Roman" w:hint="eastAsia"/>
          <w:b/>
          <w:bCs/>
          <w:szCs w:val="32"/>
        </w:rPr>
        <w:t>第</w:t>
      </w:r>
      <w:r>
        <w:rPr>
          <w:rFonts w:cs="Times New Roman" w:hint="eastAsia"/>
          <w:b/>
          <w:szCs w:val="32"/>
        </w:rPr>
        <w:t>八</w:t>
      </w:r>
      <w:r>
        <w:rPr>
          <w:rFonts w:cs="Times New Roman" w:hint="eastAsia"/>
          <w:b/>
          <w:bCs/>
          <w:szCs w:val="32"/>
        </w:rPr>
        <w:t>条</w:t>
      </w:r>
      <w:r>
        <w:rPr>
          <w:rFonts w:cs="Times New Roman"/>
          <w:szCs w:val="32"/>
        </w:rPr>
        <w:t xml:space="preserve">  </w:t>
      </w:r>
      <w:r>
        <w:rPr>
          <w:rFonts w:cs="Times New Roman" w:hint="eastAsia"/>
          <w:szCs w:val="32"/>
        </w:rPr>
        <w:t>国际学生入学后，须保证</w:t>
      </w:r>
      <w:r>
        <w:rPr>
          <w:rFonts w:cs="Times New Roman"/>
          <w:szCs w:val="32"/>
        </w:rPr>
        <w:t>本人签证、</w:t>
      </w:r>
      <w:r>
        <w:rPr>
          <w:rFonts w:cs="Times New Roman" w:hint="eastAsia"/>
          <w:szCs w:val="32"/>
        </w:rPr>
        <w:t>停留居留许可</w:t>
      </w:r>
      <w:r>
        <w:rPr>
          <w:rFonts w:cs="Times New Roman"/>
          <w:szCs w:val="32"/>
        </w:rPr>
        <w:t>正常有效，</w:t>
      </w:r>
      <w:r>
        <w:rPr>
          <w:rFonts w:cs="Times New Roman" w:hint="eastAsia"/>
          <w:szCs w:val="32"/>
        </w:rPr>
        <w:t>严格</w:t>
      </w:r>
      <w:r>
        <w:rPr>
          <w:rFonts w:cs="Times New Roman"/>
          <w:szCs w:val="32"/>
        </w:rPr>
        <w:t>在规定期限内</w:t>
      </w:r>
      <w:r>
        <w:rPr>
          <w:rFonts w:cs="Times New Roman" w:hint="eastAsia"/>
          <w:szCs w:val="32"/>
        </w:rPr>
        <w:t>完成证件</w:t>
      </w:r>
      <w:r>
        <w:rPr>
          <w:rFonts w:cs="Times New Roman"/>
          <w:szCs w:val="32"/>
        </w:rPr>
        <w:t>延期</w:t>
      </w:r>
      <w:r>
        <w:rPr>
          <w:rFonts w:cs="Times New Roman" w:hint="eastAsia"/>
          <w:szCs w:val="32"/>
        </w:rPr>
        <w:t>手续或按期</w:t>
      </w:r>
      <w:r>
        <w:rPr>
          <w:rFonts w:cs="Times New Roman"/>
          <w:szCs w:val="32"/>
        </w:rPr>
        <w:t>离境，</w:t>
      </w:r>
      <w:r>
        <w:rPr>
          <w:rFonts w:cs="Times New Roman" w:hint="eastAsia"/>
          <w:szCs w:val="32"/>
        </w:rPr>
        <w:t>严禁</w:t>
      </w:r>
      <w:r>
        <w:rPr>
          <w:rFonts w:cs="Times New Roman"/>
          <w:szCs w:val="32"/>
        </w:rPr>
        <w:t>逾期逗留。</w:t>
      </w:r>
    </w:p>
    <w:p w14:paraId="607A6009">
      <w:pPr>
        <w:numPr>
          <w:ilvl w:val="12"/>
          <w:numId w:val="0"/>
        </w:numPr>
        <w:ind w:firstLine="640" w:firstLineChars="200"/>
        <w:jc w:val="both"/>
        <w:rPr>
          <w:rFonts w:cs="Times New Roman"/>
          <w:szCs w:val="32"/>
        </w:rPr>
      </w:pPr>
      <w:r>
        <w:rPr>
          <w:rFonts w:cs="Times New Roman" w:hint="eastAsia"/>
          <w:szCs w:val="32"/>
        </w:rPr>
        <w:t>（一）持学习类居留许可的国际学生须在居留许可有效期限届满三十日前，按学校国际学生签证申请指南要求，</w:t>
      </w:r>
      <w:r>
        <w:rPr>
          <w:rFonts w:cs="Times New Roman"/>
          <w:szCs w:val="32"/>
        </w:rPr>
        <w:t>向居留地县级以上地方人民政府公安机关出入境管理机构申请</w:t>
      </w:r>
      <w:r>
        <w:rPr>
          <w:rFonts w:cs="Times New Roman" w:hint="eastAsia"/>
          <w:szCs w:val="32"/>
        </w:rPr>
        <w:t>居留许可延期。</w:t>
      </w:r>
    </w:p>
    <w:p w14:paraId="5087E64B">
      <w:pPr>
        <w:ind w:firstLine="640" w:firstLineChars="200"/>
        <w:jc w:val="both"/>
        <w:rPr>
          <w:rFonts w:cs="Times New Roman"/>
          <w:szCs w:val="32"/>
        </w:rPr>
      </w:pPr>
      <w:r>
        <w:rPr>
          <w:rFonts w:cs="Times New Roman" w:hint="eastAsia"/>
          <w:szCs w:val="32"/>
        </w:rPr>
        <w:t>（二）</w:t>
      </w:r>
      <w:r>
        <w:rPr>
          <w:rFonts w:cs="Times New Roman"/>
          <w:szCs w:val="32"/>
        </w:rPr>
        <w:t>签证、停留</w:t>
      </w:r>
      <w:r>
        <w:rPr>
          <w:rFonts w:cs="Times New Roman" w:hint="eastAsia"/>
          <w:szCs w:val="32"/>
        </w:rPr>
        <w:t>居留许可</w:t>
      </w:r>
      <w:r>
        <w:rPr>
          <w:rFonts w:cs="Times New Roman"/>
          <w:szCs w:val="32"/>
        </w:rPr>
        <w:t>登记事项发生变更</w:t>
      </w:r>
      <w:r>
        <w:rPr>
          <w:rFonts w:cs="Times New Roman" w:hint="eastAsia"/>
          <w:szCs w:val="32"/>
        </w:rPr>
        <w:t>（含学历生学籍异动、非学历生中止学习等）的，按学校国际学生签证申请指南要求，自变更之日起十日内向</w:t>
      </w:r>
      <w:r>
        <w:rPr>
          <w:rFonts w:cs="Times New Roman"/>
          <w:szCs w:val="32"/>
        </w:rPr>
        <w:t>居住地</w:t>
      </w:r>
      <w:r>
        <w:rPr>
          <w:rFonts w:cs="Times New Roman" w:hint="eastAsia"/>
          <w:szCs w:val="32"/>
        </w:rPr>
        <w:t>公安机关出入境管理机构</w:t>
      </w:r>
      <w:r>
        <w:rPr>
          <w:rFonts w:cs="Times New Roman"/>
          <w:szCs w:val="32"/>
        </w:rPr>
        <w:t>申请办理变更</w:t>
      </w:r>
      <w:r>
        <w:rPr>
          <w:rFonts w:cs="Times New Roman" w:hint="eastAsia"/>
          <w:szCs w:val="32"/>
        </w:rPr>
        <w:t>手续。</w:t>
      </w:r>
    </w:p>
    <w:p w14:paraId="297E5B0A">
      <w:pPr>
        <w:ind w:firstLine="640" w:firstLineChars="200"/>
        <w:jc w:val="both"/>
        <w:rPr>
          <w:rFonts w:cs="Times New Roman"/>
          <w:szCs w:val="32"/>
        </w:rPr>
      </w:pPr>
      <w:r>
        <w:rPr>
          <w:rFonts w:cs="Times New Roman"/>
          <w:szCs w:val="32"/>
        </w:rPr>
        <w:t>（三）</w:t>
      </w:r>
      <w:r>
        <w:rPr>
          <w:rFonts w:cs="Times New Roman" w:hint="eastAsia"/>
          <w:szCs w:val="32"/>
        </w:rPr>
        <w:t>办理</w:t>
      </w:r>
      <w:r>
        <w:rPr>
          <w:rFonts w:cs="Times New Roman"/>
          <w:szCs w:val="32"/>
        </w:rPr>
        <w:t>休学</w:t>
      </w:r>
      <w:r>
        <w:rPr>
          <w:rFonts w:cs="Times New Roman" w:hint="eastAsia"/>
          <w:szCs w:val="32"/>
        </w:rPr>
        <w:t>的国际学生，</w:t>
      </w:r>
      <w:r>
        <w:rPr>
          <w:rFonts w:cs="Times New Roman"/>
          <w:szCs w:val="32"/>
        </w:rPr>
        <w:t>培养单位应当通知休学学生于复学前</w:t>
      </w:r>
      <w:r>
        <w:rPr>
          <w:rFonts w:cs="Times New Roman" w:hint="eastAsia"/>
          <w:szCs w:val="32"/>
        </w:rPr>
        <w:t>三</w:t>
      </w:r>
      <w:r>
        <w:rPr>
          <w:rFonts w:cs="Times New Roman"/>
          <w:szCs w:val="32"/>
        </w:rPr>
        <w:t>个月</w:t>
      </w:r>
      <w:r>
        <w:rPr>
          <w:rFonts w:cs="Times New Roman" w:hint="eastAsia"/>
          <w:szCs w:val="32"/>
        </w:rPr>
        <w:t>向国际合作与交流处申请办理其入境相关的</w:t>
      </w:r>
      <w:r>
        <w:rPr>
          <w:rFonts w:cs="Times New Roman"/>
          <w:szCs w:val="32"/>
        </w:rPr>
        <w:t>签证文件。</w:t>
      </w:r>
    </w:p>
    <w:p w14:paraId="4A855C8C">
      <w:pPr>
        <w:ind w:firstLine="627" w:firstLineChars="196"/>
        <w:jc w:val="both"/>
        <w:rPr>
          <w:rFonts w:cs="Times New Roman"/>
          <w:szCs w:val="32"/>
        </w:rPr>
      </w:pPr>
      <w:r>
        <w:rPr>
          <w:rFonts w:cs="Times New Roman" w:hint="eastAsia"/>
          <w:b/>
          <w:bCs/>
          <w:szCs w:val="32"/>
        </w:rPr>
        <w:t>第九条</w:t>
      </w:r>
      <w:r>
        <w:rPr>
          <w:rFonts w:cs="Times New Roman" w:hint="eastAsia"/>
          <w:szCs w:val="32"/>
        </w:rPr>
        <w:t xml:space="preserve">  </w:t>
      </w:r>
      <w:r>
        <w:rPr>
          <w:rFonts w:cs="Times New Roman"/>
          <w:szCs w:val="32"/>
        </w:rPr>
        <w:t>国际学生</w:t>
      </w:r>
      <w:r>
        <w:rPr>
          <w:rFonts w:cs="Times New Roman" w:hint="eastAsia"/>
          <w:szCs w:val="32"/>
        </w:rPr>
        <w:t>在学期间，若本人护照、签证或居留许可有效期将在其出境期间届满的，须在出境前向所属培养单位报备。培养单位核实情况后，向党委学生工作部、国际合作与交流处备案，由国际合作与交流处协助学生按第十条规定办理签证变更或居留许可延期手续。</w:t>
      </w:r>
    </w:p>
    <w:p w14:paraId="60E84A18">
      <w:pPr>
        <w:ind w:firstLine="605" w:firstLineChars="189"/>
        <w:jc w:val="both"/>
      </w:pPr>
      <w:r>
        <w:rPr>
          <w:rFonts w:cs="Times New Roman" w:hint="eastAsia"/>
          <w:b/>
          <w:bCs/>
          <w:szCs w:val="32"/>
        </w:rPr>
        <w:t>第十条</w:t>
      </w:r>
      <w:r>
        <w:rPr>
          <w:rFonts w:cs="Times New Roman" w:hint="eastAsia"/>
          <w:szCs w:val="32"/>
        </w:rPr>
        <w:t xml:space="preserve">  对</w:t>
      </w:r>
      <w:r>
        <w:rPr>
          <w:rFonts w:hint="eastAsia"/>
        </w:rPr>
        <w:t>结业的国际学生学历生，原则上不予办理居留许可延期。但结业后回校重修、补考或重做毕业论文（设计）的，由所属培养单位出具</w:t>
      </w:r>
      <w:r>
        <w:rPr>
          <w:rFonts w:cs="Times New Roman" w:hint="eastAsia"/>
          <w:szCs w:val="32"/>
        </w:rPr>
        <w:t>国际学生实际毕业所需学习时长的</w:t>
      </w:r>
      <w:r>
        <w:rPr>
          <w:rFonts w:hint="eastAsia"/>
        </w:rPr>
        <w:t>证明材料</w:t>
      </w:r>
      <w:r>
        <w:rPr>
          <w:rFonts w:cs="Times New Roman"/>
          <w:szCs w:val="32"/>
        </w:rPr>
        <w:t>，</w:t>
      </w:r>
      <w:r>
        <w:rPr>
          <w:rFonts w:cs="Times New Roman" w:hint="eastAsia"/>
          <w:szCs w:val="32"/>
        </w:rPr>
        <w:t>学生本人向公安机关出入境管理机构申请居留许可延期，最终有效期限以公安机关出入境管理机构审批结果为准</w:t>
      </w:r>
      <w:r>
        <w:rPr>
          <w:rFonts w:cs="Times New Roman"/>
          <w:szCs w:val="32"/>
        </w:rPr>
        <w:t>。</w:t>
      </w:r>
    </w:p>
    <w:p w14:paraId="5EA613B6">
      <w:pPr>
        <w:numPr>
          <w:ilvl w:val="12"/>
          <w:numId w:val="0"/>
        </w:numPr>
        <w:ind w:firstLine="640" w:firstLineChars="200"/>
        <w:jc w:val="both"/>
        <w:rPr>
          <w:rFonts w:cs="Times New Roman"/>
          <w:bCs/>
          <w:szCs w:val="32"/>
        </w:rPr>
      </w:pPr>
      <w:r>
        <w:rPr>
          <w:rFonts w:cs="Times New Roman" w:hint="eastAsia"/>
          <w:b/>
          <w:szCs w:val="32"/>
        </w:rPr>
        <w:t>第十一条</w:t>
      </w:r>
      <w:r>
        <w:rPr>
          <w:rFonts w:cs="Times New Roman" w:hint="eastAsia"/>
          <w:bCs/>
          <w:szCs w:val="32"/>
        </w:rPr>
        <w:t xml:space="preserve">  </w:t>
      </w:r>
      <w:r>
        <w:rPr>
          <w:rFonts w:cs="Times New Roman" w:hint="eastAsia"/>
          <w:szCs w:val="32"/>
        </w:rPr>
        <w:t>严禁国际学生非学历生参加校外实习活动，学历</w:t>
      </w:r>
      <w:r>
        <w:rPr>
          <w:rFonts w:cs="Times New Roman"/>
          <w:szCs w:val="32"/>
        </w:rPr>
        <w:t>生需要在校外实习的，应当</w:t>
      </w:r>
      <w:r>
        <w:rPr>
          <w:rFonts w:cs="Times New Roman" w:hint="eastAsia"/>
          <w:szCs w:val="32"/>
        </w:rPr>
        <w:t>按学校国际学生签证申请指南要求，</w:t>
      </w:r>
      <w:r>
        <w:rPr>
          <w:rFonts w:cs="Times New Roman"/>
          <w:szCs w:val="32"/>
        </w:rPr>
        <w:t>经培养单位、</w:t>
      </w:r>
      <w:r>
        <w:rPr>
          <w:rFonts w:cs="Times New Roman" w:hint="eastAsia"/>
          <w:szCs w:val="32"/>
        </w:rPr>
        <w:t>党委学生工作部和国际合作与交流处</w:t>
      </w:r>
      <w:r>
        <w:rPr>
          <w:rFonts w:cs="Times New Roman"/>
          <w:szCs w:val="32"/>
        </w:rPr>
        <w:t>同意后，向公安机关出入境管理机构申请居留证件加注实习地点、期限等信息。所持居留证件未加注规定信息的，不得在校外实习。</w:t>
      </w:r>
    </w:p>
    <w:p w14:paraId="670302D2">
      <w:pPr>
        <w:ind w:firstLine="627" w:firstLineChars="196"/>
        <w:jc w:val="both"/>
        <w:rPr>
          <w:rFonts w:cs="Times New Roman"/>
          <w:szCs w:val="32"/>
        </w:rPr>
      </w:pPr>
      <w:r>
        <w:rPr>
          <w:rFonts w:cs="Times New Roman"/>
          <w:b/>
          <w:szCs w:val="32"/>
        </w:rPr>
        <w:t>第</w:t>
      </w:r>
      <w:r>
        <w:rPr>
          <w:rFonts w:cs="Times New Roman" w:hint="eastAsia"/>
          <w:b/>
          <w:szCs w:val="32"/>
        </w:rPr>
        <w:t>十二</w:t>
      </w:r>
      <w:r>
        <w:rPr>
          <w:rFonts w:cs="Times New Roman"/>
          <w:b/>
          <w:szCs w:val="32"/>
        </w:rPr>
        <w:t>条</w:t>
      </w:r>
      <w:r>
        <w:rPr>
          <w:rFonts w:cs="Times New Roman"/>
          <w:szCs w:val="32"/>
        </w:rPr>
        <w:t xml:space="preserve"> </w:t>
      </w:r>
      <w:bookmarkStart w:id="2" w:name="_Hlk504662008"/>
      <w:r>
        <w:rPr>
          <w:rFonts w:cs="Times New Roman"/>
          <w:szCs w:val="32"/>
        </w:rPr>
        <w:t xml:space="preserve"> 国际学生家属不得在我校学生宿舍居住，来华</w:t>
      </w:r>
      <w:r>
        <w:rPr>
          <w:rFonts w:cs="Times New Roman" w:hint="eastAsia"/>
          <w:szCs w:val="32"/>
        </w:rPr>
        <w:t>所需的签证、停留居留许可，须</w:t>
      </w:r>
      <w:r>
        <w:rPr>
          <w:rFonts w:cs="Times New Roman"/>
          <w:szCs w:val="32"/>
        </w:rPr>
        <w:t>由</w:t>
      </w:r>
      <w:r>
        <w:rPr>
          <w:rFonts w:cs="Times New Roman" w:hint="eastAsia"/>
          <w:szCs w:val="32"/>
        </w:rPr>
        <w:t>国际学生</w:t>
      </w:r>
      <w:r>
        <w:rPr>
          <w:rFonts w:cs="Times New Roman"/>
          <w:szCs w:val="32"/>
        </w:rPr>
        <w:t>本人自行</w:t>
      </w:r>
      <w:r>
        <w:rPr>
          <w:rFonts w:cs="Times New Roman" w:hint="eastAsia"/>
          <w:szCs w:val="32"/>
        </w:rPr>
        <w:t>负责</w:t>
      </w:r>
      <w:r>
        <w:rPr>
          <w:rFonts w:cs="Times New Roman"/>
          <w:szCs w:val="32"/>
        </w:rPr>
        <w:t>办理。</w:t>
      </w:r>
    </w:p>
    <w:bookmarkEnd w:id="2"/>
    <w:p w14:paraId="7A481AB8">
      <w:pPr>
        <w:jc w:val="both"/>
        <w:rPr>
          <w:rFonts w:cs="Times New Roman"/>
          <w:szCs w:val="32"/>
        </w:rPr>
      </w:pPr>
    </w:p>
    <w:p w14:paraId="566DA270">
      <w:pPr>
        <w:jc w:val="center"/>
        <w:rPr>
          <w:rFonts w:eastAsia="黑体" w:cs="Times New Roman"/>
          <w:szCs w:val="32"/>
        </w:rPr>
      </w:pPr>
      <w:r>
        <w:rPr>
          <w:rFonts w:eastAsia="黑体" w:cs="Times New Roman"/>
          <w:szCs w:val="32"/>
        </w:rPr>
        <w:t>第</w:t>
      </w:r>
      <w:r>
        <w:rPr>
          <w:rFonts w:eastAsia="黑体" w:cs="Times New Roman" w:hint="eastAsia"/>
          <w:szCs w:val="32"/>
        </w:rPr>
        <w:t>三</w:t>
      </w:r>
      <w:r>
        <w:rPr>
          <w:rFonts w:eastAsia="黑体" w:cs="Times New Roman"/>
          <w:szCs w:val="32"/>
        </w:rPr>
        <w:t>章 违规处理与监督问责</w:t>
      </w:r>
    </w:p>
    <w:p w14:paraId="36A29300">
      <w:pPr>
        <w:ind w:firstLine="640" w:firstLineChars="200"/>
        <w:jc w:val="both"/>
        <w:rPr>
          <w:rFonts w:cs="Times New Roman"/>
          <w:szCs w:val="32"/>
        </w:rPr>
      </w:pPr>
      <w:r>
        <w:rPr>
          <w:rFonts w:cs="Times New Roman"/>
          <w:b/>
          <w:szCs w:val="32"/>
        </w:rPr>
        <w:t>第十三条</w:t>
      </w:r>
      <w:r>
        <w:rPr>
          <w:rFonts w:cs="Times New Roman" w:hint="eastAsia"/>
          <w:szCs w:val="32"/>
        </w:rPr>
        <w:t xml:space="preserve">  国际学生应严格按照法律法规及本细则要求办理签证、停留居留许可。如未按照要求办理，导致签证、停留居留许可过期的，由本人承担全部责任。签证、停留居留许可过期的国际学生一律不得在校内住宿或开展活动。</w:t>
      </w:r>
    </w:p>
    <w:p w14:paraId="20768810">
      <w:pPr>
        <w:ind w:firstLine="640" w:firstLineChars="200"/>
        <w:jc w:val="both"/>
        <w:rPr>
          <w:rFonts w:cs="Times New Roman"/>
          <w:szCs w:val="32"/>
        </w:rPr>
      </w:pPr>
      <w:r>
        <w:rPr>
          <w:rFonts w:cs="Times New Roman"/>
          <w:szCs w:val="32"/>
        </w:rPr>
        <w:t>对签证、停留</w:t>
      </w:r>
      <w:r>
        <w:rPr>
          <w:rFonts w:cs="Times New Roman" w:hint="eastAsia"/>
          <w:szCs w:val="32"/>
        </w:rPr>
        <w:t>居留许可</w:t>
      </w:r>
      <w:r>
        <w:rPr>
          <w:rFonts w:cs="Times New Roman"/>
          <w:szCs w:val="32"/>
        </w:rPr>
        <w:t>过期的</w:t>
      </w:r>
      <w:r>
        <w:rPr>
          <w:rFonts w:cs="Times New Roman" w:hint="eastAsia"/>
          <w:szCs w:val="32"/>
        </w:rPr>
        <w:t>国际</w:t>
      </w:r>
      <w:r>
        <w:rPr>
          <w:rFonts w:cs="Times New Roman"/>
          <w:szCs w:val="32"/>
        </w:rPr>
        <w:t>学生，</w:t>
      </w:r>
      <w:r>
        <w:rPr>
          <w:rFonts w:cs="Times New Roman" w:hint="eastAsia"/>
          <w:szCs w:val="32"/>
        </w:rPr>
        <w:t>国际合作与交流处向公安等上级主管部门报告，由上级主管部门</w:t>
      </w:r>
      <w:r>
        <w:rPr>
          <w:rFonts w:cs="Times New Roman"/>
          <w:szCs w:val="32"/>
        </w:rPr>
        <w:t>按照《中华人民共和国出境入境管理法》等国家法律法规</w:t>
      </w:r>
      <w:r>
        <w:rPr>
          <w:rFonts w:cs="Times New Roman" w:hint="eastAsia"/>
          <w:szCs w:val="32"/>
        </w:rPr>
        <w:t>依法处理，学校予以相应处理。</w:t>
      </w:r>
    </w:p>
    <w:p w14:paraId="0F61166F">
      <w:pPr>
        <w:ind w:firstLine="640" w:firstLineChars="200"/>
        <w:jc w:val="both"/>
      </w:pPr>
      <w:r>
        <w:rPr>
          <w:rFonts w:cs="Times New Roman"/>
          <w:b/>
          <w:szCs w:val="32"/>
        </w:rPr>
        <w:t>第</w:t>
      </w:r>
      <w:r>
        <w:rPr>
          <w:rFonts w:cs="Times New Roman" w:hint="eastAsia"/>
          <w:b/>
          <w:szCs w:val="32"/>
        </w:rPr>
        <w:t>十四</w:t>
      </w:r>
      <w:r>
        <w:rPr>
          <w:rFonts w:cs="Times New Roman"/>
          <w:b/>
          <w:szCs w:val="32"/>
        </w:rPr>
        <w:t>条</w:t>
      </w:r>
      <w:r>
        <w:rPr>
          <w:rFonts w:cs="Times New Roman"/>
          <w:szCs w:val="32"/>
        </w:rPr>
        <w:t xml:space="preserve">  </w:t>
      </w:r>
      <w:r>
        <w:rPr>
          <w:rFonts w:hint="eastAsia"/>
        </w:rPr>
        <w:t>各培养单位、职能部门及相关工作人员应认真履行签证事务管理职责，规范做好工作记录。在签证事务管理中违反本细则规定的，学校可根据行为性质、严重程度等采取批评教育、责令整改及处分等措施。涉嫌违法犯罪的，移交国家有关机关处理。</w:t>
      </w:r>
    </w:p>
    <w:p w14:paraId="0FD32196">
      <w:pPr>
        <w:ind w:firstLine="640" w:firstLineChars="200"/>
        <w:jc w:val="both"/>
        <w:rPr>
          <w:rFonts w:cs="Times New Roman"/>
          <w:szCs w:val="32"/>
        </w:rPr>
      </w:pPr>
    </w:p>
    <w:p w14:paraId="218261A9">
      <w:pPr>
        <w:jc w:val="center"/>
        <w:rPr>
          <w:rFonts w:eastAsia="黑体" w:cs="Times New Roman"/>
          <w:szCs w:val="32"/>
        </w:rPr>
      </w:pPr>
      <w:r>
        <w:rPr>
          <w:rFonts w:eastAsia="黑体" w:cs="Times New Roman"/>
          <w:szCs w:val="32"/>
        </w:rPr>
        <w:t>第</w:t>
      </w:r>
      <w:r>
        <w:rPr>
          <w:rFonts w:eastAsia="黑体" w:cs="Times New Roman" w:hint="eastAsia"/>
          <w:szCs w:val="32"/>
        </w:rPr>
        <w:t>四</w:t>
      </w:r>
      <w:r>
        <w:rPr>
          <w:rFonts w:eastAsia="黑体" w:cs="Times New Roman"/>
          <w:szCs w:val="32"/>
        </w:rPr>
        <w:t>章 附则</w:t>
      </w:r>
    </w:p>
    <w:p w14:paraId="2E5FB7F5">
      <w:pPr>
        <w:ind w:firstLine="640" w:firstLineChars="200"/>
        <w:jc w:val="both"/>
        <w:rPr>
          <w:rFonts w:cs="Times New Roman"/>
          <w:szCs w:val="32"/>
        </w:rPr>
      </w:pPr>
      <w:r>
        <w:rPr>
          <w:rFonts w:cs="Times New Roman"/>
          <w:b/>
          <w:szCs w:val="32"/>
        </w:rPr>
        <w:t>第</w:t>
      </w:r>
      <w:r>
        <w:rPr>
          <w:rFonts w:cs="Times New Roman" w:hint="eastAsia"/>
          <w:b/>
          <w:szCs w:val="32"/>
        </w:rPr>
        <w:t>十五</w:t>
      </w:r>
      <w:r>
        <w:rPr>
          <w:rFonts w:cs="Times New Roman"/>
          <w:b/>
          <w:szCs w:val="32"/>
        </w:rPr>
        <w:t>条</w:t>
      </w:r>
      <w:r>
        <w:rPr>
          <w:rFonts w:cs="Times New Roman"/>
          <w:szCs w:val="32"/>
        </w:rPr>
        <w:t xml:space="preserve">  本</w:t>
      </w:r>
      <w:r>
        <w:rPr>
          <w:rFonts w:cs="Times New Roman" w:hint="eastAsia"/>
          <w:szCs w:val="32"/>
        </w:rPr>
        <w:t>细则</w:t>
      </w:r>
      <w:r>
        <w:rPr>
          <w:rFonts w:cs="Times New Roman"/>
          <w:szCs w:val="32"/>
        </w:rPr>
        <w:t>由</w:t>
      </w:r>
      <w:r>
        <w:rPr>
          <w:rFonts w:cs="Times New Roman" w:hint="eastAsia"/>
          <w:szCs w:val="32"/>
        </w:rPr>
        <w:t>国际合作与交流处</w:t>
      </w:r>
      <w:r>
        <w:rPr>
          <w:rFonts w:cs="Times New Roman"/>
          <w:szCs w:val="32"/>
        </w:rPr>
        <w:t>负责解释。</w:t>
      </w:r>
    </w:p>
    <w:p w14:paraId="0684CD0F">
      <w:pPr>
        <w:ind w:firstLine="640" w:firstLineChars="200"/>
        <w:jc w:val="both"/>
      </w:pPr>
      <w:r>
        <w:rPr>
          <w:rFonts w:cs="Times New Roman"/>
          <w:b/>
          <w:szCs w:val="32"/>
        </w:rPr>
        <w:t>第十</w:t>
      </w:r>
      <w:r>
        <w:rPr>
          <w:rFonts w:cs="Times New Roman" w:hint="eastAsia"/>
          <w:b/>
          <w:szCs w:val="32"/>
        </w:rPr>
        <w:t>六</w:t>
      </w:r>
      <w:r>
        <w:rPr>
          <w:rFonts w:cs="Times New Roman"/>
          <w:b/>
          <w:szCs w:val="32"/>
        </w:rPr>
        <w:t xml:space="preserve">条  </w:t>
      </w:r>
      <w:r>
        <w:rPr>
          <w:rFonts w:cs="Times New Roman"/>
          <w:bCs/>
          <w:szCs w:val="32"/>
        </w:rPr>
        <w:t>本</w:t>
      </w:r>
      <w:r>
        <w:rPr>
          <w:rFonts w:cs="Times New Roman" w:hint="eastAsia"/>
          <w:bCs/>
          <w:szCs w:val="32"/>
        </w:rPr>
        <w:t>细则</w:t>
      </w:r>
      <w:r>
        <w:rPr>
          <w:rFonts w:cs="Times New Roman"/>
          <w:bCs/>
          <w:szCs w:val="32"/>
        </w:rPr>
        <w:t>经</w:t>
      </w:r>
      <w:r>
        <w:rPr>
          <w:rFonts w:cs="Times New Roman" w:hint="eastAsia"/>
          <w:bCs/>
          <w:szCs w:val="32"/>
        </w:rPr>
        <w:t>2026</w:t>
      </w:r>
      <w:r>
        <w:rPr>
          <w:rFonts w:cs="Times New Roman"/>
          <w:bCs/>
          <w:szCs w:val="32"/>
        </w:rPr>
        <w:t>年第</w:t>
      </w:r>
      <w:r>
        <w:rPr>
          <w:rFonts w:cs="Times New Roman" w:hint="eastAsia"/>
          <w:bCs/>
          <w:szCs w:val="32"/>
        </w:rPr>
        <w:t>23</w:t>
      </w:r>
      <w:r>
        <w:rPr>
          <w:rFonts w:cs="Times New Roman"/>
          <w:bCs/>
          <w:szCs w:val="32"/>
        </w:rPr>
        <w:t>次学校党委常委会</w:t>
      </w:r>
      <w:r>
        <w:rPr>
          <w:rFonts w:cs="Times New Roman" w:hint="eastAsia"/>
          <w:bCs/>
          <w:szCs w:val="32"/>
        </w:rPr>
        <w:t>会议</w:t>
      </w:r>
      <w:r>
        <w:rPr>
          <w:rFonts w:cs="Times New Roman"/>
          <w:bCs/>
          <w:szCs w:val="32"/>
        </w:rPr>
        <w:t>审议通过，自公布之日起施行。</w:t>
      </w:r>
      <w:r>
        <w:rPr>
          <w:rFonts w:cs="Times New Roman" w:hint="eastAsia"/>
          <w:bCs/>
          <w:szCs w:val="32"/>
        </w:rPr>
        <w:t>原《中山大学国际学生签证事务管理办法》（中大教务〔2020〕27号）同时废止。</w:t>
      </w:r>
      <w:r>
        <w:rPr>
          <w:rFonts w:cs="Times New Roman"/>
          <w:szCs w:val="32"/>
        </w:rPr>
        <w:t>本</w:t>
      </w:r>
      <w:r>
        <w:rPr>
          <w:rFonts w:cs="Times New Roman" w:hint="eastAsia"/>
          <w:szCs w:val="32"/>
        </w:rPr>
        <w:t>细则未尽事宜</w:t>
      </w:r>
      <w:r>
        <w:rPr>
          <w:rFonts w:cs="Times New Roman"/>
          <w:szCs w:val="32"/>
        </w:rPr>
        <w:t>，</w:t>
      </w:r>
      <w:r>
        <w:rPr>
          <w:rFonts w:cs="Times New Roman" w:hint="eastAsia"/>
          <w:szCs w:val="32"/>
        </w:rPr>
        <w:t>按</w:t>
      </w:r>
      <w:r>
        <w:rPr>
          <w:rFonts w:cs="Times New Roman"/>
          <w:szCs w:val="32"/>
        </w:rPr>
        <w:t>照国家</w:t>
      </w:r>
      <w:r>
        <w:rPr>
          <w:rFonts w:cs="Times New Roman" w:hint="eastAsia"/>
          <w:szCs w:val="32"/>
        </w:rPr>
        <w:t>和学校</w:t>
      </w:r>
      <w:r>
        <w:rPr>
          <w:rFonts w:cs="Times New Roman"/>
          <w:szCs w:val="32"/>
        </w:rPr>
        <w:t>有关</w:t>
      </w:r>
      <w:r>
        <w:rPr>
          <w:rFonts w:cs="Times New Roman" w:hint="eastAsia"/>
          <w:szCs w:val="32"/>
        </w:rPr>
        <w:t>规定</w:t>
      </w:r>
      <w:r>
        <w:rPr>
          <w:rFonts w:cs="Times New Roman"/>
          <w:szCs w:val="32"/>
        </w:rPr>
        <w:t>执行</w:t>
      </w:r>
      <w:r>
        <w:rPr>
          <w:rFonts w:hint="eastAsia"/>
        </w:rPr>
        <w:t>。</w:t>
      </w:r>
    </w:p>
    <w:p w14:paraId="4D2871D4">
      <w:pPr>
        <w:ind w:firstLine="640" w:firstLineChars="200"/>
        <w:jc w:val="both"/>
      </w:pPr>
    </w:p>
    <w:p w14:paraId="7123FCA7">
      <w:pPr>
        <w:ind w:firstLine="640" w:firstLineChars="200"/>
        <w:jc w:val="both"/>
      </w:pPr>
    </w:p>
    <w:p w14:paraId="4D967FF5">
      <w:pPr>
        <w:ind w:firstLine="640" w:firstLineChars="200"/>
        <w:jc w:val="both"/>
      </w:pPr>
    </w:p>
    <w:p w14:paraId="159D1C17">
      <w:pPr>
        <w:ind w:firstLine="640" w:firstLineChars="200"/>
        <w:jc w:val="both"/>
      </w:pPr>
    </w:p>
    <w:p w14:paraId="0C460438">
      <w:pPr>
        <w:ind w:firstLine="640" w:firstLineChars="200"/>
        <w:jc w:val="both"/>
      </w:pPr>
    </w:p>
    <w:p w14:paraId="1BF98DE9">
      <w:pPr>
        <w:ind w:firstLine="640" w:firstLineChars="200"/>
        <w:jc w:val="both"/>
      </w:pPr>
    </w:p>
    <w:p w14:paraId="38542A87">
      <w:pPr>
        <w:ind w:firstLine="640" w:firstLineChars="200"/>
        <w:jc w:val="both"/>
      </w:pPr>
    </w:p>
    <w:p w14:paraId="1658FA9E">
      <w:pPr>
        <w:ind w:firstLine="640" w:firstLineChars="200"/>
        <w:jc w:val="both"/>
        <w:rPr>
          <w:rFonts w:hint="eastAsia"/>
        </w:rPr>
      </w:pPr>
    </w:p>
    <w:p w14:paraId="21A6838F">
      <w:pPr>
        <w:pBdr>
          <w:top w:val="single" w:sz="4" w:space="0" w:color="auto"/>
          <w:bottom w:val="single" w:sz="4" w:space="1" w:color="auto"/>
          <w:between w:val="single" w:sz="4" w:space="1" w:color="auto"/>
        </w:pBdr>
        <w:spacing w:line="520" w:lineRule="atLeast"/>
        <w:ind w:firstLine="420" w:firstLineChars="150"/>
        <w:jc w:val="left"/>
        <w:rPr>
          <w:rFonts w:hint="eastAsia"/>
        </w:rPr>
      </w:pPr>
      <w:r>
        <w:rPr>
          <w:rFonts w:cs="Times New Roman" w:hint="eastAsia"/>
          <w:sz w:val="28"/>
          <w:szCs w:val="28"/>
        </w:rPr>
        <w:t>中山大学办公室</w:t>
      </w:r>
      <w:r>
        <w:rPr>
          <w:rFonts w:cs="Times New Roman"/>
          <w:sz w:val="28"/>
          <w:szCs w:val="28"/>
        </w:rPr>
        <w:t xml:space="preserve">        </w:t>
      </w:r>
      <w:r>
        <w:rPr>
          <w:rFonts w:cs="Times New Roman" w:hint="eastAsia"/>
          <w:sz w:val="28"/>
          <w:szCs w:val="28"/>
        </w:rPr>
        <w:t>主动公开</w:t>
      </w:r>
      <w:r>
        <w:rPr>
          <w:rFonts w:cs="Times New Roman"/>
          <w:sz w:val="28"/>
          <w:szCs w:val="28"/>
        </w:rPr>
        <w:t xml:space="preserve">       </w:t>
      </w:r>
      <w:r>
        <w:rPr>
          <w:rFonts w:cs="Times New Roman" w:hint="eastAsia"/>
          <w:sz w:val="28"/>
          <w:szCs w:val="28"/>
        </w:rPr>
        <w:t>2026年9月</w:t>
      </w:r>
      <w:r>
        <w:rPr>
          <w:rFonts w:cs="Times New Roman" w:hint="eastAsia"/>
          <w:sz w:val="28"/>
          <w:szCs w:val="28"/>
          <w:lang w:val="en-US" w:eastAsia="zh-CN"/>
        </w:rPr>
        <w:t>30</w:t>
      </w:r>
      <w:r>
        <w:rPr>
          <w:rFonts w:cs="Times New Roman" w:hint="eastAsia"/>
          <w:sz w:val="28"/>
          <w:szCs w:val="28"/>
        </w:rPr>
        <w:t>日印发</w:t>
      </w:r>
    </w:p>
    <w:sectPr>
      <w:footerReference w:type="even" r:id="rId6"/>
      <w:footerReference w:type="default" r:id="rId7"/>
      <w:pgSz w:w="11906" w:h="16838"/>
      <w:pgMar w:top="2098" w:right="1588" w:bottom="2041" w:left="1588" w:header="851" w:footer="1644" w:gutter="0"/>
      <w:cols w:num="1" w:space="425"/>
      <w:docGrid w:type="linesAndChars" w:linePitch="57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embedRegular r:id="rId1" w:subsetted="1" w:fontKey="{9079D725-822D-42FA-853F-34BE0794BC4C}"/>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subsetted="1" w:fontKey="{D66A9B9A-A8AB-4213-A6CD-0B094E973597}"/>
  </w:font>
  <w:font w:name="方正小标宋简体">
    <w:panose1 w:val="02000000000000000000"/>
    <w:charset w:val="86"/>
    <w:family w:val="script"/>
    <w:pitch w:val="default"/>
    <w:sig w:usb0="00000001" w:usb1="080E0000" w:usb2="00000000" w:usb3="00000000" w:csb0="00040000" w:csb1="00000000"/>
    <w:embedRegular r:id="rId3" w:subsetted="1" w:fontKey="{A3A19065-563C-460E-9B58-C2230F02235A}"/>
  </w:font>
  <w:font w:name="楷体">
    <w:panose1 w:val="02010609060101010101"/>
    <w:charset w:val="86"/>
    <w:family w:val="modern"/>
    <w:pitch w:val="default"/>
    <w:sig w:usb0="800002BF" w:usb1="38CF7CFA" w:usb2="00000016" w:usb3="00000000" w:csb0="00040001" w:csb1="00000000"/>
  </w:font>
  <w:font w:name="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9969843"/>
      <w:richText/>
    </w:sdtPr>
    <w:sdtEndPr>
      <w:rPr>
        <w:rFonts w:cs="Times New Roman"/>
        <w:sz w:val="28"/>
        <w:szCs w:val="28"/>
      </w:rPr>
    </w:sdtEndPr>
    <w:sdtContent>
      <w:p w14:paraId="4DFDE15C">
        <w:pPr>
          <w:pStyle w:val="Footer"/>
          <w:ind w:firstLine="180" w:firstLineChars="100"/>
          <w:rPr>
            <w:rFonts w:cs="Times New Roman"/>
            <w:sz w:val="28"/>
            <w:szCs w:val="28"/>
          </w:rPr>
        </w:pPr>
        <w:r>
          <w:rPr>
            <w:rFonts w:hint="eastAsia"/>
          </w:rPr>
          <w:t xml:space="preserve">  </w:t>
        </w:r>
        <w:r>
          <w:rPr>
            <w:rFonts w:cs="Times New Roman"/>
            <w:sz w:val="28"/>
            <w:szCs w:val="28"/>
          </w:rPr>
          <w:t>—</w:t>
        </w:r>
        <w:r>
          <w:rPr>
            <w:rFonts w:cs="Times New Roman"/>
            <w:sz w:val="28"/>
            <w:szCs w:val="28"/>
          </w:rPr>
          <w:fldChar w:fldCharType="begin"/>
        </w:r>
        <w:r>
          <w:rPr>
            <w:rFonts w:cs="Times New Roman"/>
            <w:sz w:val="28"/>
            <w:szCs w:val="28"/>
          </w:rPr>
          <w:instrText>PAGE   \* MERGEFORMAT</w:instrText>
        </w:r>
        <w:r>
          <w:rPr>
            <w:rFonts w:cs="Times New Roman"/>
            <w:sz w:val="28"/>
            <w:szCs w:val="28"/>
          </w:rPr>
          <w:fldChar w:fldCharType="separate"/>
        </w:r>
        <w:r>
          <w:rPr>
            <w:rFonts w:cs="Times New Roman"/>
            <w:sz w:val="28"/>
            <w:szCs w:val="28"/>
            <w:lang w:val="zh-CN"/>
          </w:rPr>
          <w:t>6</w:t>
        </w:r>
        <w:r>
          <w:rPr>
            <w:rFonts w:cs="Times New Roman"/>
            <w:sz w:val="28"/>
            <w:szCs w:val="28"/>
          </w:rPr>
          <w:fldChar w:fldCharType="end"/>
        </w:r>
        <w:r>
          <w:rPr>
            <w:rFonts w:cs="Times New Roman"/>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3707932"/>
      <w:richText/>
    </w:sdtPr>
    <w:sdtEndPr>
      <w:rPr>
        <w:rFonts w:cs="Times New Roman"/>
        <w:sz w:val="28"/>
        <w:szCs w:val="28"/>
      </w:rPr>
    </w:sdtEndPr>
    <w:sdtContent>
      <w:p w14:paraId="79F2A655">
        <w:pPr>
          <w:pStyle w:val="Footer"/>
          <w:wordWrap w:val="0"/>
          <w:jc w:val="right"/>
          <w:rPr>
            <w:rFonts w:cs="Times New Roman"/>
            <w:sz w:val="28"/>
            <w:szCs w:val="28"/>
          </w:rPr>
        </w:pPr>
        <w:r>
          <w:rPr>
            <w:rFonts w:cs="Times New Roman"/>
            <w:sz w:val="28"/>
            <w:szCs w:val="28"/>
          </w:rPr>
          <w:t>—</w:t>
        </w:r>
        <w:r>
          <w:rPr>
            <w:rFonts w:cs="Times New Roman"/>
            <w:sz w:val="28"/>
            <w:szCs w:val="28"/>
          </w:rPr>
          <w:fldChar w:fldCharType="begin"/>
        </w:r>
        <w:r>
          <w:rPr>
            <w:rFonts w:cs="Times New Roman"/>
            <w:sz w:val="28"/>
            <w:szCs w:val="28"/>
          </w:rPr>
          <w:instrText>PAGE   \* MERGEFORMAT</w:instrText>
        </w:r>
        <w:r>
          <w:rPr>
            <w:rFonts w:cs="Times New Roman"/>
            <w:sz w:val="28"/>
            <w:szCs w:val="28"/>
          </w:rPr>
          <w:fldChar w:fldCharType="separate"/>
        </w:r>
        <w:r>
          <w:rPr>
            <w:rFonts w:cs="Times New Roman"/>
            <w:sz w:val="28"/>
            <w:szCs w:val="28"/>
            <w:lang w:val="zh-CN"/>
          </w:rPr>
          <w:t>5</w:t>
        </w:r>
        <w:r>
          <w:rPr>
            <w:rFonts w:cs="Times New Roman"/>
            <w:sz w:val="28"/>
            <w:szCs w:val="28"/>
          </w:rPr>
          <w:fldChar w:fldCharType="end"/>
        </w:r>
        <w:r>
          <w:rPr>
            <w:rFonts w:cs="Times New Roman"/>
            <w:sz w:val="28"/>
            <w:szCs w:val="28"/>
          </w:rPr>
          <w:t>—</w:t>
        </w:r>
        <w:r>
          <w:rPr>
            <w:rFonts w:cs="Times New Roman" w:hint="eastAsia"/>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TrueTypeFonts/>
  <w:saveSubsetFonts/>
  <w:bordersDoNotSurroundHeader/>
  <w:bordersDoNotSurroundFooter/>
  <w:trackRevisions/>
  <w:defaultTabStop w:val="420"/>
  <w:evenAndOddHeaders/>
  <w:drawingGridHorizontalSpacing w:val="156"/>
  <w:drawingGridVerticalSpacing w:val="577"/>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17"/>
    <w:rsid w:val="00013A7F"/>
    <w:rsid w:val="0001465C"/>
    <w:rsid w:val="000153F2"/>
    <w:rsid w:val="00016957"/>
    <w:rsid w:val="00020ABF"/>
    <w:rsid w:val="00020E9D"/>
    <w:rsid w:val="00025FF2"/>
    <w:rsid w:val="00057717"/>
    <w:rsid w:val="00057D7D"/>
    <w:rsid w:val="00061E4D"/>
    <w:rsid w:val="000715FF"/>
    <w:rsid w:val="00085C77"/>
    <w:rsid w:val="00090C0F"/>
    <w:rsid w:val="00092ECC"/>
    <w:rsid w:val="0009334A"/>
    <w:rsid w:val="000A1E12"/>
    <w:rsid w:val="000C3170"/>
    <w:rsid w:val="000D07A5"/>
    <w:rsid w:val="000D6655"/>
    <w:rsid w:val="000E2C27"/>
    <w:rsid w:val="00101D06"/>
    <w:rsid w:val="00107532"/>
    <w:rsid w:val="001169ED"/>
    <w:rsid w:val="00124B10"/>
    <w:rsid w:val="00126F67"/>
    <w:rsid w:val="00141A5F"/>
    <w:rsid w:val="0015106A"/>
    <w:rsid w:val="00151E48"/>
    <w:rsid w:val="0016086B"/>
    <w:rsid w:val="00167F0A"/>
    <w:rsid w:val="00182C0D"/>
    <w:rsid w:val="001A2BBA"/>
    <w:rsid w:val="001B6B97"/>
    <w:rsid w:val="001E0BB6"/>
    <w:rsid w:val="001E2221"/>
    <w:rsid w:val="001F25E6"/>
    <w:rsid w:val="001F6844"/>
    <w:rsid w:val="00204415"/>
    <w:rsid w:val="0020714E"/>
    <w:rsid w:val="0023363D"/>
    <w:rsid w:val="0023538F"/>
    <w:rsid w:val="00243CD3"/>
    <w:rsid w:val="00246D43"/>
    <w:rsid w:val="00247CA3"/>
    <w:rsid w:val="00283952"/>
    <w:rsid w:val="00295861"/>
    <w:rsid w:val="002E6314"/>
    <w:rsid w:val="0030521B"/>
    <w:rsid w:val="0031420E"/>
    <w:rsid w:val="00320E49"/>
    <w:rsid w:val="003265A6"/>
    <w:rsid w:val="003320FD"/>
    <w:rsid w:val="00347FDD"/>
    <w:rsid w:val="003565C9"/>
    <w:rsid w:val="00356A6F"/>
    <w:rsid w:val="00371E8F"/>
    <w:rsid w:val="00372B01"/>
    <w:rsid w:val="00377515"/>
    <w:rsid w:val="00383448"/>
    <w:rsid w:val="0039416C"/>
    <w:rsid w:val="003B73C9"/>
    <w:rsid w:val="003C19F6"/>
    <w:rsid w:val="003C7BF2"/>
    <w:rsid w:val="003D1295"/>
    <w:rsid w:val="003D79DD"/>
    <w:rsid w:val="003E3E2A"/>
    <w:rsid w:val="004226D2"/>
    <w:rsid w:val="00423B23"/>
    <w:rsid w:val="004349A6"/>
    <w:rsid w:val="0044069E"/>
    <w:rsid w:val="004574E8"/>
    <w:rsid w:val="00470616"/>
    <w:rsid w:val="004707A1"/>
    <w:rsid w:val="00474A7A"/>
    <w:rsid w:val="00480864"/>
    <w:rsid w:val="0048123B"/>
    <w:rsid w:val="00487B63"/>
    <w:rsid w:val="00491851"/>
    <w:rsid w:val="0049722C"/>
    <w:rsid w:val="004A7FB7"/>
    <w:rsid w:val="004B5043"/>
    <w:rsid w:val="004C0274"/>
    <w:rsid w:val="004D6D21"/>
    <w:rsid w:val="004E16E0"/>
    <w:rsid w:val="004E2901"/>
    <w:rsid w:val="004F14F1"/>
    <w:rsid w:val="004F5425"/>
    <w:rsid w:val="005027AD"/>
    <w:rsid w:val="00506230"/>
    <w:rsid w:val="005074A7"/>
    <w:rsid w:val="00510DA0"/>
    <w:rsid w:val="00542B93"/>
    <w:rsid w:val="005578A8"/>
    <w:rsid w:val="0056586A"/>
    <w:rsid w:val="00570557"/>
    <w:rsid w:val="00575046"/>
    <w:rsid w:val="00584574"/>
    <w:rsid w:val="00591F49"/>
    <w:rsid w:val="005B2806"/>
    <w:rsid w:val="005C1DCB"/>
    <w:rsid w:val="005C3FDF"/>
    <w:rsid w:val="005E1D62"/>
    <w:rsid w:val="005F4C77"/>
    <w:rsid w:val="006131D0"/>
    <w:rsid w:val="00622DE0"/>
    <w:rsid w:val="0062553D"/>
    <w:rsid w:val="00645BD5"/>
    <w:rsid w:val="00646A7D"/>
    <w:rsid w:val="006538BA"/>
    <w:rsid w:val="00654FD3"/>
    <w:rsid w:val="00667FE9"/>
    <w:rsid w:val="0068465A"/>
    <w:rsid w:val="006A721F"/>
    <w:rsid w:val="006C23B8"/>
    <w:rsid w:val="006E43BD"/>
    <w:rsid w:val="006E48A4"/>
    <w:rsid w:val="006F06C6"/>
    <w:rsid w:val="006F6F1B"/>
    <w:rsid w:val="00727914"/>
    <w:rsid w:val="00732A85"/>
    <w:rsid w:val="007341D5"/>
    <w:rsid w:val="0075092A"/>
    <w:rsid w:val="00750F2F"/>
    <w:rsid w:val="00770B36"/>
    <w:rsid w:val="00774831"/>
    <w:rsid w:val="00796911"/>
    <w:rsid w:val="007A1961"/>
    <w:rsid w:val="007B0281"/>
    <w:rsid w:val="007B09F0"/>
    <w:rsid w:val="007E0F56"/>
    <w:rsid w:val="007E2EDF"/>
    <w:rsid w:val="007E6F5F"/>
    <w:rsid w:val="007E7E0A"/>
    <w:rsid w:val="008318DF"/>
    <w:rsid w:val="0083600E"/>
    <w:rsid w:val="0087102B"/>
    <w:rsid w:val="00890237"/>
    <w:rsid w:val="008A3961"/>
    <w:rsid w:val="008A6C01"/>
    <w:rsid w:val="008B31C2"/>
    <w:rsid w:val="008B6B98"/>
    <w:rsid w:val="008C0FBC"/>
    <w:rsid w:val="008D753B"/>
    <w:rsid w:val="008E1AEF"/>
    <w:rsid w:val="00912CD1"/>
    <w:rsid w:val="009208AB"/>
    <w:rsid w:val="00927B68"/>
    <w:rsid w:val="0093314A"/>
    <w:rsid w:val="00936B5B"/>
    <w:rsid w:val="0095246E"/>
    <w:rsid w:val="00962D41"/>
    <w:rsid w:val="009725E8"/>
    <w:rsid w:val="009753F7"/>
    <w:rsid w:val="00976EC8"/>
    <w:rsid w:val="00992A34"/>
    <w:rsid w:val="009B467E"/>
    <w:rsid w:val="009B4ED5"/>
    <w:rsid w:val="009C0737"/>
    <w:rsid w:val="009D3E8C"/>
    <w:rsid w:val="009E4D95"/>
    <w:rsid w:val="009F3A2D"/>
    <w:rsid w:val="00A02781"/>
    <w:rsid w:val="00A064FD"/>
    <w:rsid w:val="00A27E2E"/>
    <w:rsid w:val="00A27F3B"/>
    <w:rsid w:val="00A3449B"/>
    <w:rsid w:val="00A3769E"/>
    <w:rsid w:val="00A60A18"/>
    <w:rsid w:val="00A624FA"/>
    <w:rsid w:val="00A62FC4"/>
    <w:rsid w:val="00A67C17"/>
    <w:rsid w:val="00A7375B"/>
    <w:rsid w:val="00A803D6"/>
    <w:rsid w:val="00A84F03"/>
    <w:rsid w:val="00A84F7C"/>
    <w:rsid w:val="00A911A0"/>
    <w:rsid w:val="00AB5F5E"/>
    <w:rsid w:val="00AC0A0A"/>
    <w:rsid w:val="00AE185A"/>
    <w:rsid w:val="00AE1B87"/>
    <w:rsid w:val="00AE7AC3"/>
    <w:rsid w:val="00B0178C"/>
    <w:rsid w:val="00B10D9F"/>
    <w:rsid w:val="00B1459C"/>
    <w:rsid w:val="00B2302E"/>
    <w:rsid w:val="00B423DD"/>
    <w:rsid w:val="00B42CE6"/>
    <w:rsid w:val="00B452F6"/>
    <w:rsid w:val="00B46166"/>
    <w:rsid w:val="00B47D28"/>
    <w:rsid w:val="00B80850"/>
    <w:rsid w:val="00B81F74"/>
    <w:rsid w:val="00B82844"/>
    <w:rsid w:val="00B84ADE"/>
    <w:rsid w:val="00B855D8"/>
    <w:rsid w:val="00B86D0C"/>
    <w:rsid w:val="00BA2713"/>
    <w:rsid w:val="00BB6DDB"/>
    <w:rsid w:val="00BE16AB"/>
    <w:rsid w:val="00BE7FE3"/>
    <w:rsid w:val="00BF43C6"/>
    <w:rsid w:val="00C10D10"/>
    <w:rsid w:val="00C10E98"/>
    <w:rsid w:val="00C12704"/>
    <w:rsid w:val="00C13807"/>
    <w:rsid w:val="00C16458"/>
    <w:rsid w:val="00C53EFE"/>
    <w:rsid w:val="00C61DC2"/>
    <w:rsid w:val="00C62479"/>
    <w:rsid w:val="00C65FC4"/>
    <w:rsid w:val="00CC01BB"/>
    <w:rsid w:val="00CC2CBE"/>
    <w:rsid w:val="00CD007B"/>
    <w:rsid w:val="00CF474A"/>
    <w:rsid w:val="00CF62A3"/>
    <w:rsid w:val="00D136D3"/>
    <w:rsid w:val="00D17140"/>
    <w:rsid w:val="00D2623F"/>
    <w:rsid w:val="00D30145"/>
    <w:rsid w:val="00D30CC1"/>
    <w:rsid w:val="00D31643"/>
    <w:rsid w:val="00D33B88"/>
    <w:rsid w:val="00D4431F"/>
    <w:rsid w:val="00D44FFA"/>
    <w:rsid w:val="00D76DE0"/>
    <w:rsid w:val="00D835E0"/>
    <w:rsid w:val="00DA21EC"/>
    <w:rsid w:val="00DA3DFB"/>
    <w:rsid w:val="00DB080B"/>
    <w:rsid w:val="00DC17F5"/>
    <w:rsid w:val="00DC3FE1"/>
    <w:rsid w:val="00DC58BB"/>
    <w:rsid w:val="00DD3BB6"/>
    <w:rsid w:val="00DD62BF"/>
    <w:rsid w:val="00DE3E1F"/>
    <w:rsid w:val="00DE725F"/>
    <w:rsid w:val="00DF12BC"/>
    <w:rsid w:val="00E50219"/>
    <w:rsid w:val="00E50706"/>
    <w:rsid w:val="00E603A2"/>
    <w:rsid w:val="00E83833"/>
    <w:rsid w:val="00EA0AEA"/>
    <w:rsid w:val="00EB08C3"/>
    <w:rsid w:val="00EB43D6"/>
    <w:rsid w:val="00EB4909"/>
    <w:rsid w:val="00EC6692"/>
    <w:rsid w:val="00EE2289"/>
    <w:rsid w:val="00EE38F6"/>
    <w:rsid w:val="00EF6306"/>
    <w:rsid w:val="00F2717A"/>
    <w:rsid w:val="00F33332"/>
    <w:rsid w:val="00F45C0D"/>
    <w:rsid w:val="00F53EC0"/>
    <w:rsid w:val="00F55F12"/>
    <w:rsid w:val="00F645FF"/>
    <w:rsid w:val="00F71E9B"/>
    <w:rsid w:val="00F73B91"/>
    <w:rsid w:val="00F74AA5"/>
    <w:rsid w:val="00F94697"/>
    <w:rsid w:val="00FA0B75"/>
    <w:rsid w:val="00FA279B"/>
    <w:rsid w:val="00FB59A5"/>
    <w:rsid w:val="00FB7633"/>
    <w:rsid w:val="00FB76AB"/>
    <w:rsid w:val="00FE773D"/>
    <w:rsid w:val="00FF3022"/>
    <w:rsid w:val="00FF4C50"/>
    <w:rsid w:val="03CB41FB"/>
    <w:rsid w:val="040F5F35"/>
    <w:rsid w:val="04574F13"/>
    <w:rsid w:val="05757C0E"/>
    <w:rsid w:val="063460EE"/>
    <w:rsid w:val="064315EA"/>
    <w:rsid w:val="06743285"/>
    <w:rsid w:val="074C298D"/>
    <w:rsid w:val="07EE3675"/>
    <w:rsid w:val="09705528"/>
    <w:rsid w:val="0AFF2F34"/>
    <w:rsid w:val="0C064A4D"/>
    <w:rsid w:val="0E0014B5"/>
    <w:rsid w:val="0ED22A68"/>
    <w:rsid w:val="0EDB14D5"/>
    <w:rsid w:val="0F0C6540"/>
    <w:rsid w:val="0FA05681"/>
    <w:rsid w:val="1015620C"/>
    <w:rsid w:val="10477D31"/>
    <w:rsid w:val="10C21A68"/>
    <w:rsid w:val="115B06EA"/>
    <w:rsid w:val="11823F9E"/>
    <w:rsid w:val="11DA646A"/>
    <w:rsid w:val="134D0D63"/>
    <w:rsid w:val="136817E4"/>
    <w:rsid w:val="14B66F2B"/>
    <w:rsid w:val="15502AF8"/>
    <w:rsid w:val="16D37BDE"/>
    <w:rsid w:val="18F61B71"/>
    <w:rsid w:val="1A7B2F83"/>
    <w:rsid w:val="1AFE1BD7"/>
    <w:rsid w:val="1D64755B"/>
    <w:rsid w:val="1D906532"/>
    <w:rsid w:val="1DC70487"/>
    <w:rsid w:val="1E124827"/>
    <w:rsid w:val="1F873173"/>
    <w:rsid w:val="202F7B6F"/>
    <w:rsid w:val="211D5283"/>
    <w:rsid w:val="21F263ED"/>
    <w:rsid w:val="22731B1B"/>
    <w:rsid w:val="2305141B"/>
    <w:rsid w:val="234E7E57"/>
    <w:rsid w:val="241C0C0F"/>
    <w:rsid w:val="2471625C"/>
    <w:rsid w:val="25206238"/>
    <w:rsid w:val="26B31BE5"/>
    <w:rsid w:val="27C0591A"/>
    <w:rsid w:val="27CE5591"/>
    <w:rsid w:val="284B16AB"/>
    <w:rsid w:val="2AF83199"/>
    <w:rsid w:val="2B0E47C6"/>
    <w:rsid w:val="2CF026A5"/>
    <w:rsid w:val="2DA06A0C"/>
    <w:rsid w:val="2DF33D2D"/>
    <w:rsid w:val="2F8E1E4D"/>
    <w:rsid w:val="31093867"/>
    <w:rsid w:val="328F5FEE"/>
    <w:rsid w:val="329E398A"/>
    <w:rsid w:val="32E23950"/>
    <w:rsid w:val="33A361F5"/>
    <w:rsid w:val="33AD7074"/>
    <w:rsid w:val="33E7173D"/>
    <w:rsid w:val="34B20E23"/>
    <w:rsid w:val="35C017E1"/>
    <w:rsid w:val="35FD135C"/>
    <w:rsid w:val="369E488B"/>
    <w:rsid w:val="37C44F8A"/>
    <w:rsid w:val="37D63B8C"/>
    <w:rsid w:val="38F01158"/>
    <w:rsid w:val="39C075BB"/>
    <w:rsid w:val="39DD3F6D"/>
    <w:rsid w:val="3A0E5A41"/>
    <w:rsid w:val="3AA62951"/>
    <w:rsid w:val="3AB40CA7"/>
    <w:rsid w:val="3AE81E5B"/>
    <w:rsid w:val="3B351E28"/>
    <w:rsid w:val="3B750477"/>
    <w:rsid w:val="3BDF4F02"/>
    <w:rsid w:val="3CF67E46"/>
    <w:rsid w:val="3CFD18EB"/>
    <w:rsid w:val="3D556F37"/>
    <w:rsid w:val="3D8C0B8F"/>
    <w:rsid w:val="3F4224AC"/>
    <w:rsid w:val="3F9E1A73"/>
    <w:rsid w:val="407A02DD"/>
    <w:rsid w:val="40836840"/>
    <w:rsid w:val="410B0A42"/>
    <w:rsid w:val="424536FA"/>
    <w:rsid w:val="42A950BB"/>
    <w:rsid w:val="42AB3D39"/>
    <w:rsid w:val="436D4079"/>
    <w:rsid w:val="43B21CDF"/>
    <w:rsid w:val="44AF103D"/>
    <w:rsid w:val="46476EB4"/>
    <w:rsid w:val="46861839"/>
    <w:rsid w:val="479F132F"/>
    <w:rsid w:val="49B068A1"/>
    <w:rsid w:val="49FC753D"/>
    <w:rsid w:val="4B592D41"/>
    <w:rsid w:val="4B9F79FB"/>
    <w:rsid w:val="4C4169A8"/>
    <w:rsid w:val="4C651A12"/>
    <w:rsid w:val="4C844565"/>
    <w:rsid w:val="4CC25E7D"/>
    <w:rsid w:val="4DA13255"/>
    <w:rsid w:val="4E7C05D1"/>
    <w:rsid w:val="4EC07803"/>
    <w:rsid w:val="4EF314B4"/>
    <w:rsid w:val="4FED152B"/>
    <w:rsid w:val="5153202F"/>
    <w:rsid w:val="525321C6"/>
    <w:rsid w:val="5285323E"/>
    <w:rsid w:val="53C35492"/>
    <w:rsid w:val="54392786"/>
    <w:rsid w:val="546F2F75"/>
    <w:rsid w:val="54D11C35"/>
    <w:rsid w:val="56374683"/>
    <w:rsid w:val="5650052E"/>
    <w:rsid w:val="56CF2060"/>
    <w:rsid w:val="57710EBA"/>
    <w:rsid w:val="57906CFC"/>
    <w:rsid w:val="584E7C2E"/>
    <w:rsid w:val="5850595B"/>
    <w:rsid w:val="58694453"/>
    <w:rsid w:val="58B63D67"/>
    <w:rsid w:val="5A5D052B"/>
    <w:rsid w:val="5B7D3508"/>
    <w:rsid w:val="5D1E315D"/>
    <w:rsid w:val="5D3C0341"/>
    <w:rsid w:val="5EF4412F"/>
    <w:rsid w:val="62152BF0"/>
    <w:rsid w:val="65005F44"/>
    <w:rsid w:val="65C22C43"/>
    <w:rsid w:val="67386FCE"/>
    <w:rsid w:val="681325FD"/>
    <w:rsid w:val="699E1418"/>
    <w:rsid w:val="6BC34A01"/>
    <w:rsid w:val="6C392FF7"/>
    <w:rsid w:val="6C8206B2"/>
    <w:rsid w:val="6E491F18"/>
    <w:rsid w:val="6E8131DD"/>
    <w:rsid w:val="6EA36DBB"/>
    <w:rsid w:val="706A7B52"/>
    <w:rsid w:val="71A219C8"/>
    <w:rsid w:val="7372042B"/>
    <w:rsid w:val="75E607F9"/>
    <w:rsid w:val="7625612E"/>
    <w:rsid w:val="76834FEE"/>
    <w:rsid w:val="76BF1559"/>
    <w:rsid w:val="7799734C"/>
    <w:rsid w:val="77FE6266"/>
    <w:rsid w:val="784B77EB"/>
    <w:rsid w:val="78814A72"/>
    <w:rsid w:val="791E0C87"/>
    <w:rsid w:val="79F63BF7"/>
    <w:rsid w:val="7B0C6F0D"/>
    <w:rsid w:val="7B235C86"/>
    <w:rsid w:val="7B6E3FBF"/>
    <w:rsid w:val="7BA61FFB"/>
    <w:rsid w:val="7C5A3F24"/>
    <w:rsid w:val="7C9110F7"/>
    <w:rsid w:val="7CEC1640"/>
    <w:rsid w:val="7D965A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adjustRightInd w:val="0"/>
      <w:snapToGrid w:val="0"/>
      <w:spacing w:line="540" w:lineRule="atLeast"/>
    </w:pPr>
    <w:rPr>
      <w:rFonts w:ascii="Times New Roman" w:eastAsia="仿宋_GB2312" w:hAnsi="Times New Roman" w:cstheme="minorBidi"/>
      <w:kern w:val="2"/>
      <w:sz w:val="32"/>
      <w:szCs w:val="21"/>
      <w:lang w:val="en-US" w:eastAsia="zh-CN" w:bidi="ar-SA"/>
    </w:rPr>
  </w:style>
  <w:style w:type="paragraph" w:styleId="Heading1">
    <w:name w:val="heading 1"/>
    <w:basedOn w:val="Normal"/>
    <w:next w:val="Normal"/>
    <w:uiPriority w:val="9"/>
    <w:qFormat/>
    <w:pPr>
      <w:spacing w:beforeAutospacing="1" w:afterAutospacing="1"/>
      <w:outlineLvl w:val="0"/>
    </w:pPr>
    <w:rPr>
      <w:rFonts w:ascii="宋体" w:eastAsia="宋体" w:hAnsi="宋体" w:cs="Times New Roman" w:hint="eastAsia"/>
      <w:b/>
      <w:bCs/>
      <w:kern w:val="44"/>
      <w:sz w:val="48"/>
      <w:szCs w:val="48"/>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a2"/>
    <w:uiPriority w:val="99"/>
    <w:semiHidden/>
    <w:unhideWhenUsed/>
    <w:qFormat/>
  </w:style>
  <w:style w:type="paragraph" w:styleId="BalloonText">
    <w:name w:val="Balloon Text"/>
    <w:basedOn w:val="Normal"/>
    <w:link w:val="a1"/>
    <w:uiPriority w:val="99"/>
    <w:semiHidden/>
    <w:unhideWhenUsed/>
    <w:qFormat/>
    <w:pPr>
      <w:spacing w:line="240" w:lineRule="auto"/>
    </w:pPr>
    <w:rPr>
      <w:sz w:val="18"/>
      <w:szCs w:val="18"/>
    </w:rPr>
  </w:style>
  <w:style w:type="paragraph" w:styleId="Footer">
    <w:name w:val="footer"/>
    <w:basedOn w:val="Normal"/>
    <w:link w:val="a0"/>
    <w:uiPriority w:val="99"/>
    <w:unhideWhenUsed/>
    <w:qFormat/>
    <w:pPr>
      <w:tabs>
        <w:tab w:val="center" w:pos="4153"/>
        <w:tab w:val="right" w:pos="8306"/>
      </w:tabs>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jc w:val="center"/>
    </w:pPr>
    <w:rPr>
      <w:sz w:val="18"/>
      <w:szCs w:val="18"/>
    </w:rPr>
  </w:style>
  <w:style w:type="paragraph" w:styleId="NormalWeb">
    <w:name w:val="Normal (Web)"/>
    <w:basedOn w:val="Normal"/>
    <w:qFormat/>
    <w:pPr>
      <w:adjustRightInd/>
      <w:snapToGrid/>
      <w:spacing w:before="100" w:beforeAutospacing="1" w:after="100" w:afterAutospacing="1" w:line="240" w:lineRule="auto"/>
    </w:pPr>
    <w:rPr>
      <w:rFonts w:ascii="Calibri" w:eastAsia="宋体" w:hAnsi="Calibri" w:cs="Times New Roman"/>
      <w:kern w:val="0"/>
      <w:sz w:val="24"/>
      <w:szCs w:val="24"/>
    </w:rPr>
  </w:style>
  <w:style w:type="paragraph" w:styleId="CommentSubject">
    <w:name w:val="annotation subject"/>
    <w:basedOn w:val="CommentText"/>
    <w:next w:val="CommentText"/>
    <w:link w:val="a3"/>
    <w:uiPriority w:val="99"/>
    <w:semiHidden/>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themeColor="hyperlink"/>
      <w:u w:val="single"/>
      <w14:textFill>
        <w14:solidFill>
          <w14:schemeClr w14:val="hlink"/>
        </w14:solidFill>
      </w14:textFill>
    </w:rPr>
  </w:style>
  <w:style w:type="character" w:styleId="CommentReference">
    <w:name w:val="annotation reference"/>
    <w:basedOn w:val="DefaultParagraphFont"/>
    <w:uiPriority w:val="99"/>
    <w:semiHidden/>
    <w:unhideWhenUsed/>
    <w:qFormat/>
    <w:rPr>
      <w:sz w:val="21"/>
      <w:szCs w:val="21"/>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rFonts w:ascii="Times New Roman" w:eastAsia="仿宋_GB2312" w:hAnsi="Times New Roman" w:cstheme="minorBidi"/>
      <w:kern w:val="2"/>
      <w:sz w:val="18"/>
      <w:szCs w:val="18"/>
    </w:rPr>
  </w:style>
  <w:style w:type="paragraph" w:styleId="ListParagraph">
    <w:name w:val="List Paragraph"/>
    <w:basedOn w:val="Normal"/>
    <w:uiPriority w:val="99"/>
    <w:qFormat/>
    <w:pPr>
      <w:ind w:firstLine="420" w:firstLineChars="200"/>
    </w:pPr>
  </w:style>
  <w:style w:type="character" w:customStyle="1" w:styleId="a2">
    <w:name w:val="批注文字 字符"/>
    <w:basedOn w:val="DefaultParagraphFont"/>
    <w:link w:val="CommentText"/>
    <w:uiPriority w:val="99"/>
    <w:semiHidden/>
    <w:qFormat/>
    <w:rPr>
      <w:rFonts w:ascii="Times New Roman" w:eastAsia="仿宋_GB2312" w:hAnsi="Times New Roman" w:cstheme="minorBidi"/>
      <w:kern w:val="2"/>
      <w:sz w:val="32"/>
      <w:szCs w:val="21"/>
    </w:rPr>
  </w:style>
  <w:style w:type="character" w:customStyle="1" w:styleId="a3">
    <w:name w:val="批注主题 字符"/>
    <w:basedOn w:val="a2"/>
    <w:link w:val="CommentSubject"/>
    <w:uiPriority w:val="99"/>
    <w:semiHidden/>
    <w:qFormat/>
    <w:rPr>
      <w:rFonts w:ascii="Times New Roman" w:eastAsia="仿宋_GB2312" w:hAnsi="Times New Roman" w:cstheme="minorBidi"/>
      <w:b/>
      <w:bCs/>
      <w:kern w:val="2"/>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146FE3-3EFC-49FD-BFCA-EE869D2381B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2424</Words>
  <Characters>2453</Characters>
  <Application>Microsoft Office Word</Application>
  <DocSecurity>0</DocSecurity>
  <Lines>18</Lines>
  <Paragraphs>5</Paragraphs>
  <ScaleCrop>false</ScaleCrop>
  <Company>微软中国</Company>
  <LinksUpToDate>false</LinksUpToDate>
  <CharactersWithSpaces>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admin101</dc:creator>
  <cp:lastModifiedBy>郑凌康</cp:lastModifiedBy>
  <cp:revision>9</cp:revision>
  <cp:lastPrinted>2026-09-30T08:26:26Z</cp:lastPrinted>
  <dcterms:created xsi:type="dcterms:W3CDTF">2020-03-03T02:56:00Z</dcterms:created>
  <dcterms:modified xsi:type="dcterms:W3CDTF">2026-09-30T08:26:29Z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A413AD17FB6D45F8A4A3C82EA30FC1C4_13</vt:lpwstr>
  </property>
  <property fmtid="{D5CDD505-2E9C-101B-9397-08002B2CF9AE}" pid="3" name="KSOProductBuildVer">
    <vt:lpwstr>2052-12.1.0.28043</vt:lpwstr>
  </property>
  <property fmtid="{D5CDD505-2E9C-101B-9397-08002B2CF9AE}" pid="4" name="KSOTemplateDocerSaveRecord">
    <vt:lpwstr>eyJoZGlkIjoiMDc3YmI1MzY3OTAyMmE3YTJlNjc2ZGM1Yzc1ODVmMmEiLCJ1c2VySWQiOiIxNjQ5ODAyMTgzIn0=</vt:lpwstr>
  </property>
</Properties>
</file>