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7A65BC">
      <w:pPr>
        <w:pStyle w:val="7"/>
        <w:rPr>
          <w:rFonts w:hint="eastAsia" w:ascii="微软雅黑"/>
          <w:sz w:val="20"/>
        </w:rPr>
      </w:pPr>
    </w:p>
    <w:p w14:paraId="75E058DF">
      <w:pPr>
        <w:pStyle w:val="7"/>
        <w:spacing w:before="2"/>
        <w:rPr>
          <w:rFonts w:hint="eastAsia" w:ascii="微软雅黑"/>
          <w:sz w:val="23"/>
        </w:rPr>
      </w:pPr>
    </w:p>
    <w:p w14:paraId="39A57636">
      <w:pPr>
        <w:pStyle w:val="7"/>
        <w:ind w:left="3691"/>
        <w:rPr>
          <w:rFonts w:hint="eastAsia" w:ascii="微软雅黑"/>
          <w:sz w:val="20"/>
        </w:rPr>
      </w:pPr>
    </w:p>
    <w:p w14:paraId="1437683A">
      <w:pPr>
        <w:pStyle w:val="7"/>
        <w:rPr>
          <w:rFonts w:hint="eastAsia" w:ascii="微软雅黑"/>
          <w:sz w:val="20"/>
        </w:rPr>
      </w:pPr>
    </w:p>
    <w:p w14:paraId="7DED32B3">
      <w:pPr>
        <w:pStyle w:val="7"/>
        <w:rPr>
          <w:rFonts w:hint="eastAsia" w:ascii="微软雅黑"/>
          <w:sz w:val="20"/>
        </w:rPr>
      </w:pPr>
    </w:p>
    <w:p w14:paraId="55C350DA">
      <w:pPr>
        <w:pStyle w:val="7"/>
        <w:rPr>
          <w:rFonts w:hint="eastAsia" w:ascii="微软雅黑"/>
          <w:sz w:val="20"/>
        </w:rPr>
      </w:pPr>
    </w:p>
    <w:p w14:paraId="1A3F3A25">
      <w:pPr>
        <w:pStyle w:val="7"/>
        <w:rPr>
          <w:rFonts w:hint="eastAsia" w:ascii="微软雅黑"/>
          <w:sz w:val="20"/>
        </w:rPr>
      </w:pPr>
    </w:p>
    <w:p w14:paraId="54ABCAB6">
      <w:pPr>
        <w:pStyle w:val="7"/>
        <w:rPr>
          <w:rFonts w:hint="eastAsia" w:ascii="微软雅黑"/>
          <w:sz w:val="20"/>
        </w:rPr>
      </w:pPr>
    </w:p>
    <w:p w14:paraId="64B9CA5B">
      <w:pPr>
        <w:pStyle w:val="7"/>
        <w:rPr>
          <w:rFonts w:hint="eastAsia" w:ascii="微软雅黑"/>
          <w:sz w:val="20"/>
        </w:rPr>
      </w:pPr>
    </w:p>
    <w:p w14:paraId="6CE1F0B7">
      <w:pPr>
        <w:spacing w:line="922" w:lineRule="exact"/>
        <w:ind w:left="660" w:right="735"/>
        <w:jc w:val="center"/>
        <w:rPr>
          <w:rFonts w:hint="eastAsia" w:ascii="微软雅黑" w:eastAsia="微软雅黑"/>
          <w:b/>
          <w:sz w:val="72"/>
        </w:rPr>
      </w:pPr>
      <w:r>
        <w:rPr>
          <w:rFonts w:hint="eastAsia" w:ascii="微软雅黑" w:eastAsia="微软雅黑"/>
          <w:b/>
          <w:color w:val="0D0D0D"/>
          <w:sz w:val="72"/>
        </w:rPr>
        <w:t>学生工作管理系统</w:t>
      </w:r>
    </w:p>
    <w:p w14:paraId="0E09A51A">
      <w:pPr>
        <w:spacing w:before="13" w:line="242" w:lineRule="auto"/>
        <w:ind w:left="662" w:right="735"/>
        <w:jc w:val="center"/>
        <w:rPr>
          <w:rFonts w:hint="eastAsia" w:ascii="微软雅黑" w:eastAsia="微软雅黑"/>
          <w:b/>
          <w:color w:val="0D0D0D"/>
          <w:w w:val="95"/>
          <w:sz w:val="72"/>
        </w:rPr>
      </w:pPr>
      <w:r>
        <w:rPr>
          <w:rFonts w:hint="eastAsia" w:ascii="微软雅黑" w:eastAsia="微软雅黑"/>
          <w:b/>
          <w:color w:val="0D0D0D"/>
          <w:w w:val="95"/>
          <w:sz w:val="72"/>
          <w:lang w:val="en-US"/>
        </w:rPr>
        <w:t>奖学金</w:t>
      </w:r>
      <w:r>
        <w:rPr>
          <w:rFonts w:hint="eastAsia" w:ascii="微软雅黑" w:eastAsia="微软雅黑"/>
          <w:b/>
          <w:color w:val="0D0D0D"/>
          <w:w w:val="95"/>
          <w:sz w:val="72"/>
        </w:rPr>
        <w:t xml:space="preserve"> </w:t>
      </w:r>
    </w:p>
    <w:p w14:paraId="2AC69C07">
      <w:pPr>
        <w:spacing w:before="9"/>
        <w:ind w:left="660" w:right="735"/>
        <w:jc w:val="center"/>
        <w:rPr>
          <w:rFonts w:hint="eastAsia" w:ascii="微软雅黑" w:eastAsia="微软雅黑"/>
          <w:b/>
          <w:sz w:val="72"/>
        </w:rPr>
      </w:pPr>
      <w:r>
        <w:rPr>
          <w:rFonts w:hint="eastAsia" w:ascii="微软雅黑" w:eastAsia="微软雅黑"/>
          <w:b/>
          <w:color w:val="0D0D0D"/>
          <w:w w:val="95"/>
          <w:sz w:val="72"/>
          <w:lang w:val="en-US"/>
        </w:rPr>
        <w:t>学生</w:t>
      </w:r>
      <w:r>
        <w:rPr>
          <w:rFonts w:hint="eastAsia" w:ascii="微软雅黑" w:eastAsia="微软雅黑"/>
          <w:b/>
          <w:color w:val="0D0D0D"/>
          <w:sz w:val="72"/>
          <w:lang w:val="en-US"/>
        </w:rPr>
        <w:t>用户</w:t>
      </w:r>
      <w:r>
        <w:rPr>
          <w:rFonts w:hint="eastAsia" w:ascii="微软雅黑" w:eastAsia="微软雅黑"/>
          <w:b/>
          <w:color w:val="0D0D0D"/>
          <w:sz w:val="72"/>
        </w:rPr>
        <w:t>使用手册</w:t>
      </w:r>
    </w:p>
    <w:p w14:paraId="4FB7067A">
      <w:pPr>
        <w:pStyle w:val="7"/>
        <w:rPr>
          <w:rFonts w:hint="eastAsia" w:ascii="微软雅黑"/>
          <w:b/>
          <w:sz w:val="72"/>
        </w:rPr>
      </w:pPr>
    </w:p>
    <w:p w14:paraId="51EB6515">
      <w:pPr>
        <w:pStyle w:val="7"/>
        <w:rPr>
          <w:rFonts w:hint="eastAsia" w:ascii="微软雅黑"/>
          <w:b/>
          <w:sz w:val="72"/>
        </w:rPr>
      </w:pPr>
    </w:p>
    <w:p w14:paraId="3033EFE8">
      <w:pPr>
        <w:pStyle w:val="7"/>
        <w:rPr>
          <w:rFonts w:hint="eastAsia" w:ascii="微软雅黑"/>
          <w:b/>
          <w:sz w:val="72"/>
        </w:rPr>
      </w:pPr>
    </w:p>
    <w:p w14:paraId="6F8F4DAB">
      <w:pPr>
        <w:pStyle w:val="7"/>
        <w:rPr>
          <w:rFonts w:hint="eastAsia" w:ascii="微软雅黑"/>
          <w:b/>
          <w:sz w:val="72"/>
        </w:rPr>
      </w:pPr>
    </w:p>
    <w:p w14:paraId="4CEE179D">
      <w:pPr>
        <w:pStyle w:val="7"/>
        <w:spacing w:before="1"/>
        <w:rPr>
          <w:rFonts w:hint="eastAsia" w:ascii="微软雅黑"/>
          <w:b/>
          <w:sz w:val="84"/>
        </w:rPr>
      </w:pPr>
    </w:p>
    <w:p w14:paraId="4D4F9A35">
      <w:pPr>
        <w:ind w:left="662" w:right="733"/>
        <w:jc w:val="center"/>
        <w:rPr>
          <w:rFonts w:hint="eastAsia" w:ascii="微软雅黑"/>
          <w:sz w:val="40"/>
        </w:rPr>
      </w:pPr>
      <w:r>
        <w:rPr>
          <w:rFonts w:hint="eastAsia" w:ascii="微软雅黑"/>
          <w:b/>
          <w:color w:val="0D0D0D"/>
          <w:sz w:val="40"/>
        </w:rPr>
        <w:t>Version</w:t>
      </w:r>
      <w:r>
        <w:rPr>
          <w:rFonts w:hint="eastAsia" w:ascii="微软雅黑"/>
          <w:color w:val="333333"/>
          <w:sz w:val="40"/>
        </w:rPr>
        <w:t>1.0.0</w:t>
      </w:r>
    </w:p>
    <w:p w14:paraId="3A9C67A9">
      <w:pPr>
        <w:jc w:val="center"/>
        <w:rPr>
          <w:rFonts w:hint="eastAsia" w:ascii="微软雅黑"/>
          <w:sz w:val="40"/>
        </w:rPr>
        <w:sectPr>
          <w:pgSz w:w="11910" w:h="16840"/>
          <w:pgMar w:top="1580" w:right="1600" w:bottom="280" w:left="1680" w:header="720" w:footer="720" w:gutter="0"/>
          <w:cols w:space="720" w:num="1"/>
        </w:sectPr>
      </w:pPr>
    </w:p>
    <w:p w14:paraId="133F5062">
      <w:pPr>
        <w:pStyle w:val="7"/>
        <w:rPr>
          <w:rFonts w:hint="eastAsia" w:ascii="微软雅黑"/>
          <w:sz w:val="20"/>
        </w:rPr>
      </w:pPr>
    </w:p>
    <w:p w14:paraId="3076F98F">
      <w:pPr>
        <w:tabs>
          <w:tab w:val="left" w:pos="779"/>
        </w:tabs>
        <w:spacing w:before="129"/>
        <w:ind w:left="120"/>
        <w:rPr>
          <w:b/>
          <w:sz w:val="44"/>
        </w:rPr>
      </w:pPr>
      <w:r>
        <w:rPr>
          <w:b/>
          <w:color w:val="0B0B0B"/>
          <w:sz w:val="44"/>
        </w:rPr>
        <w:t>目</w:t>
      </w:r>
      <w:r>
        <w:rPr>
          <w:b/>
          <w:color w:val="0B0B0B"/>
          <w:sz w:val="44"/>
        </w:rPr>
        <w:tab/>
      </w:r>
      <w:r>
        <w:rPr>
          <w:b/>
          <w:color w:val="0B0B0B"/>
          <w:sz w:val="44"/>
        </w:rPr>
        <w:t>录</w:t>
      </w:r>
    </w:p>
    <w:sdt>
      <w:sdtPr>
        <w:rPr>
          <w:rFonts w:hint="eastAsia" w:ascii="微软雅黑" w:hAnsi="微软雅黑" w:eastAsia="微软雅黑"/>
          <w:sz w:val="21"/>
        </w:rPr>
        <w:id w:val="147478140"/>
        <w15:color w:val="DBDBDB"/>
        <w:docPartObj>
          <w:docPartGallery w:val="Table of Contents"/>
          <w:docPartUnique/>
        </w:docPartObj>
      </w:sdtPr>
      <w:sdtEndPr>
        <w:rPr>
          <w:rFonts w:hint="eastAsia" w:ascii="微软雅黑" w:hAnsi="微软雅黑" w:eastAsia="微软雅黑"/>
          <w:sz w:val="22"/>
        </w:rPr>
      </w:sdtEndPr>
      <w:sdtContent>
        <w:p w14:paraId="1A9525E2">
          <w:pPr>
            <w:jc w:val="center"/>
          </w:pPr>
        </w:p>
        <w:p w14:paraId="6D568AAB">
          <w:pPr>
            <w:pStyle w:val="10"/>
            <w:tabs>
              <w:tab w:val="right" w:leader="dot" w:pos="8630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_Toc4532 </w:instrText>
          </w:r>
          <w:r>
            <w:fldChar w:fldCharType="separate"/>
          </w:r>
          <w:r>
            <w:t>1. 登录（PC</w:t>
          </w:r>
          <w:r>
            <w:rPr>
              <w:spacing w:val="-8"/>
            </w:rPr>
            <w:t xml:space="preserve"> 端</w:t>
          </w:r>
          <w:r>
            <w:t>）</w:t>
          </w:r>
          <w:r>
            <w:tab/>
          </w:r>
          <w:r>
            <w:fldChar w:fldCharType="begin"/>
          </w:r>
          <w:r>
            <w:instrText xml:space="preserve"> PAGEREF _Toc4532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34C8348C">
          <w:pPr>
            <w:pStyle w:val="11"/>
            <w:tabs>
              <w:tab w:val="right" w:leader="dot" w:pos="8630"/>
            </w:tabs>
          </w:pPr>
          <w:r>
            <w:fldChar w:fldCharType="begin"/>
          </w:r>
          <w:r>
            <w:instrText xml:space="preserve"> HYPERLINK \l _Toc21097 </w:instrText>
          </w:r>
          <w:r>
            <w:fldChar w:fldCharType="separate"/>
          </w:r>
          <w:r>
            <w:rPr>
              <w:rFonts w:hint="default" w:ascii="微软雅黑" w:hAnsi="微软雅黑" w:eastAsia="微软雅黑"/>
              <w:lang w:val="en-US"/>
            </w:rPr>
            <w:t xml:space="preserve">1.1 </w:t>
          </w:r>
          <w:r>
            <w:rPr>
              <w:rFonts w:hint="eastAsia" w:ascii="微软雅黑" w:hAnsi="微软雅黑" w:eastAsia="微软雅黑"/>
              <w:spacing w:val="0"/>
              <w:lang w:val="en-US"/>
            </w:rPr>
            <w:t>方式</w:t>
          </w:r>
          <w:r>
            <w:rPr>
              <w:rFonts w:hint="eastAsia"/>
              <w:spacing w:val="0"/>
              <w:lang w:val="en-US" w:eastAsia="zh-CN"/>
            </w:rPr>
            <w:t>一</w:t>
          </w:r>
          <w:r>
            <w:rPr>
              <w:rFonts w:hint="eastAsia" w:ascii="微软雅黑" w:hAnsi="微软雅黑" w:eastAsia="微软雅黑"/>
              <w:spacing w:val="0"/>
              <w:lang w:val="en-US"/>
            </w:rPr>
            <w:t>：通过学生工作管理系统奖学金模块</w:t>
          </w:r>
          <w:r>
            <w:tab/>
          </w:r>
          <w:r>
            <w:fldChar w:fldCharType="begin"/>
          </w:r>
          <w:r>
            <w:instrText xml:space="preserve"> PAGEREF _Toc21097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56C2137E">
          <w:pPr>
            <w:pStyle w:val="11"/>
            <w:tabs>
              <w:tab w:val="right" w:leader="dot" w:pos="8630"/>
            </w:tabs>
          </w:pPr>
          <w:r>
            <w:fldChar w:fldCharType="begin"/>
          </w:r>
          <w:r>
            <w:instrText xml:space="preserve"> HYPERLINK \l _Toc31153 </w:instrText>
          </w:r>
          <w:r>
            <w:fldChar w:fldCharType="separate"/>
          </w:r>
          <w:r>
            <w:rPr>
              <w:rFonts w:hint="default" w:ascii="微软雅黑" w:hAnsi="微软雅黑" w:eastAsia="微软雅黑"/>
              <w:lang w:val="en-US"/>
            </w:rPr>
            <w:t xml:space="preserve">1.2 </w:t>
          </w:r>
          <w:r>
            <w:rPr>
              <w:rFonts w:hint="eastAsia" w:ascii="微软雅黑" w:hAnsi="微软雅黑" w:eastAsia="微软雅黑"/>
              <w:lang w:val="en-US"/>
            </w:rPr>
            <w:t>方式</w:t>
          </w:r>
          <w:r>
            <w:rPr>
              <w:rFonts w:hint="eastAsia"/>
              <w:lang w:val="en-US" w:eastAsia="zh-CN"/>
            </w:rPr>
            <w:t>二</w:t>
          </w:r>
          <w:r>
            <w:rPr>
              <w:rFonts w:hint="eastAsia" w:ascii="微软雅黑" w:hAnsi="微软雅黑" w:eastAsia="微软雅黑"/>
              <w:lang w:val="en-US"/>
            </w:rPr>
            <w:t>：通过统一门户</w:t>
          </w:r>
          <w:r>
            <w:tab/>
          </w:r>
          <w:r>
            <w:fldChar w:fldCharType="begin"/>
          </w:r>
          <w:r>
            <w:instrText xml:space="preserve"> PAGEREF _Toc31153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64F8FAE5">
          <w:pPr>
            <w:pStyle w:val="10"/>
            <w:tabs>
              <w:tab w:val="right" w:leader="dot" w:pos="8630"/>
            </w:tabs>
          </w:pPr>
          <w:r>
            <w:fldChar w:fldCharType="begin"/>
          </w:r>
          <w:r>
            <w:instrText xml:space="preserve"> HYPERLINK \l _Toc20499 </w:instrText>
          </w:r>
          <w:r>
            <w:fldChar w:fldCharType="separate"/>
          </w:r>
          <w:r>
            <w:t xml:space="preserve">2. </w:t>
          </w:r>
          <w:r>
            <w:rPr>
              <w:rFonts w:hint="eastAsia"/>
              <w:lang w:val="en-US"/>
            </w:rPr>
            <w:t>奖学金申请</w:t>
          </w:r>
          <w:r>
            <w:tab/>
          </w:r>
          <w:r>
            <w:fldChar w:fldCharType="begin"/>
          </w:r>
          <w:r>
            <w:instrText xml:space="preserve"> PAGEREF _Toc20499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 w14:paraId="7F6F9A1C">
          <w:pPr>
            <w:pStyle w:val="8"/>
            <w:tabs>
              <w:tab w:val="right" w:leader="dot" w:pos="8630"/>
            </w:tabs>
          </w:pPr>
          <w:r>
            <w:fldChar w:fldCharType="begin"/>
          </w:r>
          <w:r>
            <w:instrText xml:space="preserve"> HYPERLINK \l _Toc3824 </w:instrText>
          </w:r>
          <w:r>
            <w:fldChar w:fldCharType="separate"/>
          </w:r>
          <w:r>
            <w:rPr>
              <w:rFonts w:hint="default"/>
              <w:lang w:val="en-US"/>
            </w:rPr>
            <w:t xml:space="preserve">2.3.1 </w:t>
          </w:r>
          <w:r>
            <w:rPr>
              <w:rFonts w:hint="eastAsia"/>
              <w:lang w:val="en-US"/>
            </w:rPr>
            <w:t>审核中</w:t>
          </w:r>
          <w:r>
            <w:tab/>
          </w:r>
          <w:r>
            <w:fldChar w:fldCharType="begin"/>
          </w:r>
          <w:r>
            <w:instrText xml:space="preserve"> PAGEREF _Toc3824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 w14:paraId="20F062D3">
          <w:pPr>
            <w:pStyle w:val="8"/>
            <w:tabs>
              <w:tab w:val="right" w:leader="dot" w:pos="8630"/>
            </w:tabs>
          </w:pPr>
          <w:r>
            <w:fldChar w:fldCharType="begin"/>
          </w:r>
          <w:r>
            <w:instrText xml:space="preserve"> HYPERLINK \l _Toc22594 </w:instrText>
          </w:r>
          <w:r>
            <w:fldChar w:fldCharType="separate"/>
          </w:r>
          <w:r>
            <w:rPr>
              <w:rFonts w:hint="default"/>
              <w:lang w:val="zh-CN"/>
            </w:rPr>
            <w:t>2.3.2 已通过</w:t>
          </w:r>
          <w:r>
            <w:tab/>
          </w:r>
          <w:r>
            <w:fldChar w:fldCharType="begin"/>
          </w:r>
          <w:r>
            <w:instrText xml:space="preserve"> PAGEREF _Toc22594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0FE0C092">
          <w:pPr>
            <w:pStyle w:val="8"/>
            <w:tabs>
              <w:tab w:val="right" w:leader="dot" w:pos="8630"/>
            </w:tabs>
          </w:pPr>
          <w:r>
            <w:fldChar w:fldCharType="begin"/>
          </w:r>
          <w:r>
            <w:instrText xml:space="preserve"> HYPERLINK \l _Toc18268 </w:instrText>
          </w:r>
          <w:r>
            <w:fldChar w:fldCharType="separate"/>
          </w:r>
          <w:r>
            <w:rPr>
              <w:rFonts w:hint="default"/>
              <w:lang w:val="en-US"/>
            </w:rPr>
            <w:t xml:space="preserve">2.4.1 </w:t>
          </w:r>
          <w:r>
            <w:rPr>
              <w:rFonts w:hint="eastAsia"/>
              <w:lang w:val="en-US"/>
            </w:rPr>
            <w:t>不通过</w:t>
          </w:r>
          <w:r>
            <w:tab/>
          </w:r>
          <w:r>
            <w:fldChar w:fldCharType="begin"/>
          </w:r>
          <w:r>
            <w:instrText xml:space="preserve"> PAGEREF _Toc18268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651B3979">
          <w:pPr>
            <w:pStyle w:val="8"/>
            <w:tabs>
              <w:tab w:val="right" w:leader="dot" w:pos="8630"/>
            </w:tabs>
          </w:pPr>
          <w:r>
            <w:fldChar w:fldCharType="begin"/>
          </w:r>
          <w:r>
            <w:instrText xml:space="preserve"> HYPERLINK \l _Toc7929 </w:instrText>
          </w:r>
          <w:r>
            <w:fldChar w:fldCharType="separate"/>
          </w:r>
          <w:r>
            <w:rPr>
              <w:rFonts w:hint="default"/>
              <w:lang w:val="en-US"/>
            </w:rPr>
            <w:t xml:space="preserve">2.4.2 </w:t>
          </w:r>
          <w:r>
            <w:rPr>
              <w:rFonts w:hint="eastAsia"/>
              <w:lang w:val="en-US"/>
            </w:rPr>
            <w:t>回退</w:t>
          </w:r>
          <w:r>
            <w:tab/>
          </w:r>
          <w:r>
            <w:fldChar w:fldCharType="begin"/>
          </w:r>
          <w:r>
            <w:instrText xml:space="preserve"> PAGEREF _Toc7929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 w14:paraId="182A3DEF">
          <w:pPr>
            <w:sectPr>
              <w:pgSz w:w="11910" w:h="16840"/>
              <w:pgMar w:top="1580" w:right="1600" w:bottom="280" w:left="1680" w:header="720" w:footer="720" w:gutter="0"/>
              <w:cols w:space="720" w:num="1"/>
            </w:sectPr>
          </w:pPr>
          <w:r>
            <w:fldChar w:fldCharType="end"/>
          </w:r>
        </w:p>
      </w:sdtContent>
    </w:sdt>
    <w:p w14:paraId="465CC532">
      <w:pPr>
        <w:pStyle w:val="7"/>
        <w:spacing w:before="15"/>
        <w:rPr>
          <w:sz w:val="28"/>
        </w:rPr>
      </w:pPr>
    </w:p>
    <w:p w14:paraId="1DB0C580">
      <w:pPr>
        <w:pStyle w:val="2"/>
        <w:numPr>
          <w:ilvl w:val="0"/>
          <w:numId w:val="1"/>
        </w:numPr>
        <w:rPr>
          <w:rFonts w:hint="eastAsia"/>
          <w:lang w:val="en-US"/>
        </w:rPr>
      </w:pPr>
      <w:bookmarkStart w:id="0" w:name="1.1登录（PC端）"/>
      <w:bookmarkEnd w:id="0"/>
      <w:r>
        <w:rPr>
          <w:rFonts w:hint="eastAsia"/>
          <w:lang w:val="en-US"/>
        </w:rPr>
        <w:t>登录</w:t>
      </w:r>
    </w:p>
    <w:p w14:paraId="7AC4D530">
      <w:pPr>
        <w:widowControl/>
        <w:ind w:left="420" w:firstLine="420"/>
        <w:rPr>
          <w:rFonts w:hint="eastAsia"/>
          <w:color w:val="000000"/>
          <w:sz w:val="24"/>
          <w:szCs w:val="24"/>
          <w:lang w:val="en-US" w:eastAsia="zh-CN" w:bidi="ar"/>
        </w:rPr>
      </w:pPr>
      <w:bookmarkStart w:id="1" w:name="1.1.1方式一：通过统一门户"/>
      <w:bookmarkEnd w:id="1"/>
      <w:bookmarkStart w:id="2" w:name="1.1.2方式二：通过学生工作管理系统家庭经济困难学生认定模块"/>
      <w:bookmarkEnd w:id="2"/>
      <w:r>
        <w:rPr>
          <w:rFonts w:hint="eastAsia"/>
          <w:color w:val="000000"/>
          <w:sz w:val="24"/>
          <w:szCs w:val="24"/>
          <w:lang w:val="en-US" w:eastAsia="zh-CN" w:bidi="ar"/>
        </w:rPr>
        <w:t>打开浏览器在地址栏输入统一门户访问地址：https://portal.sysu.edu.cn，点击登录，进入登录页面，通过NetID登录。如图1所示：</w:t>
      </w:r>
    </w:p>
    <w:p w14:paraId="5FDF15EB">
      <w:pPr>
        <w:jc w:val="center"/>
      </w:pPr>
      <w:r>
        <w:drawing>
          <wp:inline distT="0" distB="0" distL="114300" distR="114300">
            <wp:extent cx="5479415" cy="2857500"/>
            <wp:effectExtent l="0" t="0" r="6985" b="12700"/>
            <wp:docPr id="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71AEF">
      <w:pPr>
        <w:jc w:val="center"/>
      </w:pPr>
    </w:p>
    <w:p w14:paraId="0D59F36D">
      <w:pPr>
        <w:widowControl/>
        <w:rPr>
          <w:rFonts w:hint="eastAsia" w:ascii="Times New Roman" w:hAnsi="Times New Roman" w:eastAsia="宋体" w:cs="Times New Roman"/>
          <w:szCs w:val="24"/>
        </w:rPr>
      </w:pPr>
    </w:p>
    <w:p w14:paraId="194FCDB8">
      <w:pPr>
        <w:widowControl/>
        <w:ind w:left="420" w:firstLine="420"/>
        <w:rPr>
          <w:rFonts w:hint="eastAsia"/>
          <w:color w:val="000000"/>
          <w:sz w:val="24"/>
          <w:szCs w:val="24"/>
          <w:lang w:val="en-US" w:eastAsia="zh-CN" w:bidi="ar"/>
        </w:rPr>
      </w:pPr>
      <w:r>
        <w:rPr>
          <w:rFonts w:hint="eastAsia"/>
          <w:color w:val="000000"/>
          <w:sz w:val="24"/>
          <w:szCs w:val="24"/>
          <w:lang w:val="en-US" w:eastAsia="zh-CN" w:bidi="ar"/>
        </w:rPr>
        <w:t>统一门户“系统收藏夹”里的“学工工作管理系统”指向新的学工系统首页。</w:t>
      </w:r>
    </w:p>
    <w:p w14:paraId="027F0ED6">
      <w:pPr>
        <w:widowControl/>
        <w:ind w:left="420" w:firstLine="420"/>
        <w:rPr>
          <w:rFonts w:hint="eastAsia"/>
          <w:color w:val="000000"/>
          <w:sz w:val="24"/>
          <w:szCs w:val="24"/>
          <w:lang w:val="en-US" w:eastAsia="zh-CN" w:bidi="ar"/>
        </w:rPr>
      </w:pPr>
    </w:p>
    <w:p w14:paraId="0DEEE2F1">
      <w:pPr>
        <w:widowControl/>
        <w:rPr>
          <w:rFonts w:hint="eastAsia"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drawing>
          <wp:inline distT="0" distB="0" distL="0" distR="0">
            <wp:extent cx="5274310" cy="1292225"/>
            <wp:effectExtent l="0" t="0" r="8890" b="3175"/>
            <wp:docPr id="1359" name="图片 1359" descr="C:\Users\Manson\AppData\Local\Temp\企业微信截图_16385249784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" name="图片 1359" descr="C:\Users\Manson\AppData\Local\Temp\企业微信截图_163852497840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9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F5763"/>
    <w:p w14:paraId="7940EC13">
      <w:pPr>
        <w:widowControl/>
        <w:ind w:left="420" w:firstLine="420"/>
        <w:rPr>
          <w:rFonts w:hint="eastAsia"/>
          <w:color w:val="000000"/>
          <w:sz w:val="24"/>
          <w:szCs w:val="24"/>
          <w:lang w:val="en-US" w:eastAsia="zh-CN" w:bidi="ar"/>
        </w:rPr>
      </w:pPr>
      <w:r>
        <w:rPr>
          <w:rFonts w:hint="eastAsia"/>
          <w:color w:val="000000"/>
          <w:sz w:val="24"/>
          <w:szCs w:val="24"/>
          <w:lang w:val="en-US" w:eastAsia="zh-CN" w:bidi="ar"/>
        </w:rPr>
        <w:t>直接输入学工工作管理系统地址访问，打开浏览器在地址栏输入奖学金系统访问地址：https://xgxt.sysu.edu.cn/ 进入“学生工作管理系统—权限登录平台界面”，通过NetID登录。</w:t>
      </w:r>
    </w:p>
    <w:p w14:paraId="38B13DB9">
      <w:pPr>
        <w:spacing w:line="360" w:lineRule="auto"/>
        <w:ind w:firstLine="330" w:firstLineChars="150"/>
        <w:jc w:val="center"/>
        <w:rPr>
          <w:rFonts w:hint="eastAsia"/>
          <w:szCs w:val="21"/>
          <w:lang w:val="en-US" w:eastAsia="zh-CN"/>
        </w:rPr>
      </w:pPr>
      <w:r>
        <w:drawing>
          <wp:inline distT="0" distB="0" distL="114300" distR="114300">
            <wp:extent cx="3776980" cy="3005455"/>
            <wp:effectExtent l="0" t="0" r="7620" b="1714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76980" cy="300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B3DC2">
      <w:pPr>
        <w:spacing w:line="360" w:lineRule="auto"/>
        <w:rPr>
          <w:rFonts w:hint="eastAsia"/>
          <w:szCs w:val="21"/>
          <w:lang w:val="en-US" w:eastAsia="zh-CN"/>
        </w:rPr>
      </w:pPr>
    </w:p>
    <w:p w14:paraId="57A6E164">
      <w:pPr>
        <w:widowControl/>
        <w:ind w:left="420" w:firstLine="420"/>
      </w:pPr>
      <w:r>
        <w:rPr>
          <w:rFonts w:hint="eastAsia"/>
          <w:color w:val="000000"/>
          <w:sz w:val="24"/>
          <w:szCs w:val="24"/>
          <w:lang w:val="en-US" w:eastAsia="zh-CN" w:bidi="ar"/>
        </w:rPr>
        <w:t>进入学</w:t>
      </w:r>
      <w:bookmarkStart w:id="26" w:name="_GoBack"/>
      <w:bookmarkEnd w:id="26"/>
      <w:r>
        <w:rPr>
          <w:rFonts w:hint="eastAsia"/>
          <w:color w:val="000000"/>
          <w:sz w:val="24"/>
          <w:szCs w:val="24"/>
          <w:lang w:val="en-US" w:eastAsia="zh-CN" w:bidi="ar"/>
        </w:rPr>
        <w:t>生工作管理系统首页，点击“奖学金”（https://xgxt.sysu.edu.cn/jxj）</w:t>
      </w:r>
    </w:p>
    <w:p w14:paraId="3126169A">
      <w:pPr>
        <w:ind w:left="420" w:leftChars="0" w:firstLine="420" w:firstLineChars="0"/>
        <w:jc w:val="center"/>
      </w:pPr>
      <w:r>
        <w:drawing>
          <wp:inline distT="0" distB="0" distL="114300" distR="114300">
            <wp:extent cx="2272030" cy="1725930"/>
            <wp:effectExtent l="0" t="0" r="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rcRect r="58707"/>
                    <a:stretch>
                      <a:fillRect/>
                    </a:stretch>
                  </pic:blipFill>
                  <pic:spPr>
                    <a:xfrm>
                      <a:off x="0" y="0"/>
                      <a:ext cx="2272030" cy="172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C8361">
      <w:pPr>
        <w:ind w:firstLine="420" w:firstLineChars="0"/>
        <w:rPr>
          <w:rFonts w:hint="eastAsia"/>
          <w:lang w:val="en-US" w:eastAsia="zh-CN"/>
        </w:rPr>
      </w:pPr>
    </w:p>
    <w:p w14:paraId="7A641BBB">
      <w:pPr>
        <w:widowControl/>
        <w:ind w:left="420" w:firstLine="420"/>
        <w:rPr>
          <w:rFonts w:hint="eastAsia"/>
          <w:color w:val="000000"/>
          <w:sz w:val="24"/>
          <w:szCs w:val="24"/>
          <w:lang w:val="en-US" w:eastAsia="zh-CN" w:bidi="ar"/>
        </w:rPr>
      </w:pPr>
      <w:r>
        <w:rPr>
          <w:rFonts w:hint="eastAsia"/>
          <w:color w:val="000000"/>
          <w:sz w:val="24"/>
          <w:szCs w:val="24"/>
          <w:lang w:val="en-US" w:eastAsia="zh-CN" w:bidi="ar"/>
        </w:rPr>
        <w:t>可点击“开始办理”，进入该业务模块的主界面。</w:t>
      </w:r>
    </w:p>
    <w:p w14:paraId="2C237CA0">
      <w:pPr>
        <w:ind w:firstLine="420" w:firstLineChars="0"/>
        <w:jc w:val="center"/>
      </w:pPr>
      <w:r>
        <w:drawing>
          <wp:inline distT="0" distB="0" distL="114300" distR="114300">
            <wp:extent cx="4507865" cy="2649220"/>
            <wp:effectExtent l="0" t="0" r="13335" b="177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07865" cy="264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CB988">
      <w:pPr>
        <w:pStyle w:val="7"/>
        <w:spacing w:before="37" w:line="338" w:lineRule="auto"/>
        <w:ind w:left="120" w:right="145" w:firstLine="480"/>
      </w:pPr>
    </w:p>
    <w:p w14:paraId="543040B5">
      <w:pPr>
        <w:spacing w:line="338" w:lineRule="auto"/>
        <w:jc w:val="center"/>
        <w:sectPr>
          <w:pgSz w:w="11910" w:h="16840"/>
          <w:pgMar w:top="1500" w:right="1560" w:bottom="280" w:left="1680" w:header="720" w:footer="720" w:gutter="0"/>
          <w:cols w:space="720" w:num="1"/>
        </w:sectPr>
      </w:pPr>
    </w:p>
    <w:p w14:paraId="5168AB1B"/>
    <w:p w14:paraId="0F2596FD">
      <w:pPr>
        <w:pStyle w:val="2"/>
        <w:numPr>
          <w:ilvl w:val="0"/>
          <w:numId w:val="2"/>
        </w:numPr>
        <w:tabs>
          <w:tab w:val="left" w:pos="696"/>
        </w:tabs>
        <w:ind w:left="120"/>
      </w:pPr>
      <w:bookmarkStart w:id="3" w:name="_bookmark2"/>
      <w:bookmarkEnd w:id="3"/>
      <w:bookmarkStart w:id="4" w:name="1.2辅导员审核"/>
      <w:bookmarkEnd w:id="4"/>
      <w:bookmarkStart w:id="5" w:name="_bookmark1"/>
      <w:bookmarkEnd w:id="5"/>
      <w:bookmarkStart w:id="6" w:name="1.1.2方式二：通过学生工作管理系统家庭经济困难学生认定模块查看"/>
      <w:bookmarkEnd w:id="6"/>
      <w:bookmarkStart w:id="7" w:name="1.1.1方式一：通过统一门户查看"/>
      <w:bookmarkEnd w:id="7"/>
      <w:bookmarkStart w:id="8" w:name="_Toc20499"/>
      <w:r>
        <w:rPr>
          <w:rFonts w:hint="eastAsia"/>
          <w:lang w:val="en-US" w:eastAsia="zh-Hans"/>
        </w:rPr>
        <w:t>奖学金</w:t>
      </w:r>
      <w:r>
        <w:rPr>
          <w:rFonts w:hint="eastAsia"/>
          <w:lang w:val="en-US"/>
        </w:rPr>
        <w:t>申请</w:t>
      </w:r>
      <w:bookmarkEnd w:id="8"/>
    </w:p>
    <w:p w14:paraId="6A89EC3B">
      <w:pPr>
        <w:ind w:firstLine="420"/>
        <w:rPr>
          <w:sz w:val="24"/>
          <w:szCs w:val="24"/>
          <w:lang w:val="zh-CN"/>
        </w:rPr>
      </w:pPr>
      <w:r>
        <w:rPr>
          <w:rFonts w:hint="default"/>
          <w:sz w:val="24"/>
          <w:szCs w:val="24"/>
          <w:lang w:val="zh-CN"/>
        </w:rPr>
        <w:t>登陆后进入奖学金模块的主界面，主界面显示可参评的奖项卡片，奖项卡片对奖项进行了简要说明，学生可点击下载材料说明进行查看。有申请需求的学生，可点击”开始办理“进入办理页面。</w:t>
      </w:r>
    </w:p>
    <w:p w14:paraId="499AFFD3"/>
    <w:p w14:paraId="56BA9304">
      <w:pPr>
        <w:jc w:val="center"/>
      </w:pPr>
      <w:r>
        <w:rPr>
          <w:lang w:val="en-US" w:bidi="ar-SA"/>
        </w:rPr>
        <w:drawing>
          <wp:inline distT="0" distB="0" distL="114300" distR="114300">
            <wp:extent cx="5469255" cy="2582545"/>
            <wp:effectExtent l="0" t="0" r="7620" b="825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4707C">
      <w:pPr>
        <w:pStyle w:val="4"/>
        <w:numPr>
          <w:ilvl w:val="1"/>
          <w:numId w:val="2"/>
        </w:numPr>
        <w:rPr>
          <w:lang w:val="en-US"/>
        </w:rPr>
      </w:pPr>
      <w:r>
        <w:rPr>
          <w:rFonts w:hint="eastAsia"/>
          <w:lang w:val="en-US"/>
        </w:rPr>
        <w:t>开始办理</w:t>
      </w:r>
    </w:p>
    <w:p w14:paraId="2E748D09">
      <w:pPr>
        <w:ind w:firstLine="420"/>
        <w:rPr>
          <w:sz w:val="24"/>
          <w:szCs w:val="24"/>
          <w:lang w:val="zh-CN"/>
        </w:rPr>
      </w:pPr>
      <w:r>
        <w:rPr>
          <w:rFonts w:hint="default"/>
          <w:sz w:val="24"/>
          <w:szCs w:val="24"/>
          <w:lang w:val="zh-CN"/>
        </w:rPr>
        <w:t>当点击”开始办理“后，显示如下弹窗提示，则表明你尚不符合该奖项的申请条件，并告知你不符合哪些申请条件（此图仅供参考，每位学生的情况不同）。</w:t>
      </w:r>
    </w:p>
    <w:p w14:paraId="19198972"/>
    <w:p w14:paraId="427D9865">
      <w:pPr>
        <w:jc w:val="center"/>
      </w:pPr>
      <w:r>
        <w:rPr>
          <w:lang w:val="en-US" w:bidi="ar-SA"/>
        </w:rPr>
        <w:drawing>
          <wp:inline distT="0" distB="0" distL="114300" distR="114300">
            <wp:extent cx="3822700" cy="1713230"/>
            <wp:effectExtent l="0" t="0" r="6350" b="127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22700" cy="171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94F30">
      <w:pPr>
        <w:rPr>
          <w:lang w:val="en-US"/>
        </w:rPr>
      </w:pPr>
    </w:p>
    <w:p w14:paraId="3056B1A6">
      <w:pPr>
        <w:ind w:firstLine="420"/>
        <w:rPr>
          <w:sz w:val="24"/>
          <w:szCs w:val="24"/>
          <w:lang w:val="zh-CN"/>
        </w:rPr>
      </w:pPr>
      <w:r>
        <w:rPr>
          <w:rFonts w:hint="default"/>
          <w:sz w:val="24"/>
          <w:szCs w:val="24"/>
          <w:lang w:val="zh-CN"/>
        </w:rPr>
        <w:t>当点击”开始办理“后，显示以下界面，须认真阅读办理须知，确认后勾选“本人已仔细阅读并同意”，方可开始办理。如图所示：</w:t>
      </w:r>
    </w:p>
    <w:p w14:paraId="6736C245">
      <w:pPr>
        <w:ind w:firstLine="420"/>
      </w:pPr>
      <w:r>
        <w:rPr>
          <w:lang w:val="en-US" w:bidi="ar-SA"/>
        </w:rPr>
        <w:drawing>
          <wp:inline distT="0" distB="0" distL="114300" distR="114300">
            <wp:extent cx="5467985" cy="1797050"/>
            <wp:effectExtent l="0" t="0" r="8890" b="3175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7D4EE">
      <w:pPr>
        <w:ind w:firstLine="420"/>
      </w:pPr>
    </w:p>
    <w:p w14:paraId="4122A07B">
      <w:pPr>
        <w:ind w:left="0" w:firstLine="420"/>
        <w:rPr>
          <w:rFonts w:hint="default"/>
          <w:sz w:val="24"/>
          <w:szCs w:val="24"/>
          <w:lang w:val="zh-CN"/>
        </w:rPr>
      </w:pPr>
      <w:r>
        <w:rPr>
          <w:rFonts w:hint="default"/>
          <w:sz w:val="24"/>
          <w:szCs w:val="24"/>
          <w:lang w:val="zh-CN"/>
        </w:rPr>
        <w:t>进入奖项申请填写页面，其中所有内容皆为必填项，没有则填写“无”。</w:t>
      </w:r>
    </w:p>
    <w:p w14:paraId="6EA7150D">
      <w:pPr>
        <w:ind w:left="0" w:firstLine="420"/>
        <w:rPr>
          <w:rFonts w:hint="default" w:eastAsia="微软雅黑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其中【班级】字段目前暂定设置为【专业】信息，非设置错误。</w:t>
      </w:r>
    </w:p>
    <w:p w14:paraId="0926C6D7">
      <w:pPr>
        <w:ind w:firstLine="420"/>
        <w:rPr>
          <w:lang w:val="en-US"/>
        </w:rPr>
      </w:pPr>
      <w:r>
        <w:rPr>
          <w:lang w:val="en-US" w:bidi="ar-SA"/>
        </w:rPr>
        <w:drawing>
          <wp:inline distT="0" distB="0" distL="114300" distR="114300">
            <wp:extent cx="5467985" cy="2637790"/>
            <wp:effectExtent l="0" t="0" r="8890" b="635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263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E805B">
      <w:pPr>
        <w:ind w:left="0" w:firstLine="420"/>
        <w:rPr>
          <w:sz w:val="24"/>
          <w:szCs w:val="24"/>
          <w:lang w:val="zh-CN"/>
        </w:rPr>
      </w:pPr>
      <w:r>
        <w:rPr>
          <w:rFonts w:hint="default"/>
          <w:sz w:val="24"/>
          <w:szCs w:val="24"/>
          <w:lang w:val="zh-CN"/>
        </w:rPr>
        <w:t>若有获奖情况、实践经历等个人情况的同学，点击添加后填写相关信息即可。</w:t>
      </w:r>
    </w:p>
    <w:p w14:paraId="41146851">
      <w:pPr>
        <w:ind w:firstLine="420"/>
      </w:pPr>
      <w:r>
        <w:rPr>
          <w:lang w:val="en-US" w:bidi="ar-SA"/>
        </w:rPr>
        <w:drawing>
          <wp:inline distT="0" distB="0" distL="114300" distR="114300">
            <wp:extent cx="5472430" cy="1891030"/>
            <wp:effectExtent l="0" t="0" r="4445" b="4445"/>
            <wp:docPr id="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2430" cy="189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5391C">
      <w:pPr>
        <w:ind w:left="420" w:firstLine="420"/>
        <w:rPr>
          <w:color w:val="FF0000"/>
          <w:lang w:val="en-US"/>
        </w:rPr>
      </w:pPr>
      <w:r>
        <w:rPr>
          <w:rFonts w:hint="eastAsia"/>
          <w:color w:val="FF0000"/>
          <w:lang w:val="en-US"/>
        </w:rPr>
        <w:t>注意！以获奖情况为例，在没有点击</w:t>
      </w:r>
      <w:r>
        <w:rPr>
          <w:color w:val="FF0000"/>
          <w:lang w:val="en-US"/>
        </w:rPr>
        <w:t>”</w:t>
      </w:r>
      <w:r>
        <w:rPr>
          <w:rFonts w:hint="eastAsia"/>
          <w:color w:val="FF0000"/>
          <w:lang w:val="en-US"/>
        </w:rPr>
        <w:t>保存</w:t>
      </w:r>
      <w:r>
        <w:rPr>
          <w:color w:val="FF0000"/>
          <w:lang w:val="en-US"/>
        </w:rPr>
        <w:t>”</w:t>
      </w:r>
      <w:r>
        <w:rPr>
          <w:rFonts w:hint="eastAsia"/>
          <w:color w:val="FF0000"/>
          <w:lang w:val="en-US"/>
        </w:rPr>
        <w:t>的情况下，无法新增下一条获奖情况。</w:t>
      </w:r>
    </w:p>
    <w:p w14:paraId="51B9CD5D">
      <w:pPr>
        <w:ind w:firstLine="420"/>
      </w:pPr>
      <w:r>
        <w:rPr>
          <w:lang w:val="en-US" w:bidi="ar-SA"/>
        </w:rPr>
        <w:drawing>
          <wp:inline distT="0" distB="0" distL="114300" distR="114300">
            <wp:extent cx="5473065" cy="878205"/>
            <wp:effectExtent l="0" t="0" r="3810" b="7620"/>
            <wp:docPr id="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73065" cy="87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A35E4">
      <w:pPr>
        <w:pStyle w:val="4"/>
        <w:numPr>
          <w:ilvl w:val="1"/>
          <w:numId w:val="2"/>
        </w:numPr>
        <w:rPr>
          <w:sz w:val="21"/>
        </w:rPr>
      </w:pPr>
      <w:r>
        <w:rPr>
          <w:rFonts w:hint="eastAsia"/>
          <w:lang w:val="en-US"/>
        </w:rPr>
        <w:t>保存与提交</w:t>
      </w:r>
    </w:p>
    <w:p w14:paraId="115ECBEE">
      <w:pPr>
        <w:spacing w:line="338" w:lineRule="auto"/>
        <w:ind w:left="0" w:right="265" w:firstLine="420"/>
        <w:rPr>
          <w:sz w:val="24"/>
          <w:szCs w:val="24"/>
          <w:lang w:val="zh-CN"/>
        </w:rPr>
      </w:pPr>
      <w:r>
        <w:rPr>
          <w:rFonts w:hint="default"/>
          <w:sz w:val="24"/>
          <w:szCs w:val="24"/>
          <w:lang w:val="zh-CN"/>
        </w:rPr>
        <w:t>未完成申请表单填写的情况下，可以点击“保存”，保存已填写的内容；后续通过“继续办理”按钮继续填写。</w:t>
      </w:r>
    </w:p>
    <w:p w14:paraId="7429F227">
      <w:pPr>
        <w:spacing w:line="338" w:lineRule="auto"/>
        <w:ind w:left="0" w:right="265" w:firstLine="420"/>
        <w:rPr>
          <w:sz w:val="24"/>
          <w:szCs w:val="24"/>
          <w:lang w:val="zh-CN"/>
        </w:rPr>
      </w:pPr>
      <w:r>
        <w:rPr>
          <w:sz w:val="24"/>
          <w:szCs w:val="24"/>
          <w:lang w:val="zh-CN" w:bidi="ar-SA"/>
        </w:rPr>
        <w:drawing>
          <wp:inline distT="0" distB="0" distL="114300" distR="114300">
            <wp:extent cx="5475605" cy="2614930"/>
            <wp:effectExtent l="0" t="0" r="1270" b="4445"/>
            <wp:docPr id="2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19DB7">
      <w:pPr>
        <w:spacing w:line="338" w:lineRule="auto"/>
        <w:ind w:left="0" w:right="237" w:firstLine="420"/>
        <w:jc w:val="both"/>
        <w:rPr>
          <w:sz w:val="24"/>
          <w:szCs w:val="24"/>
          <w:lang w:val="zh-CN"/>
        </w:rPr>
      </w:pPr>
      <w:r>
        <w:rPr>
          <w:rFonts w:hint="default"/>
          <w:sz w:val="24"/>
          <w:szCs w:val="24"/>
          <w:lang w:val="zh-CN"/>
        </w:rPr>
        <w:t>填写完申请表单内容后，点击“提交”即可提交申请，一旦提交不能再次修改，请提交前确认信息的准确性。</w:t>
      </w:r>
    </w:p>
    <w:p w14:paraId="0D890152">
      <w:pPr>
        <w:pStyle w:val="7"/>
        <w:spacing w:line="338" w:lineRule="auto"/>
        <w:ind w:left="120" w:right="237" w:firstLine="480"/>
        <w:jc w:val="both"/>
      </w:pPr>
      <w:r>
        <w:rPr>
          <w:lang w:val="en-US" w:bidi="ar-SA"/>
        </w:rPr>
        <w:drawing>
          <wp:inline distT="0" distB="0" distL="114300" distR="114300">
            <wp:extent cx="5477510" cy="4020185"/>
            <wp:effectExtent l="0" t="0" r="8890" b="8890"/>
            <wp:docPr id="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402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FADF5">
      <w:pPr>
        <w:pStyle w:val="4"/>
        <w:numPr>
          <w:ilvl w:val="1"/>
          <w:numId w:val="2"/>
        </w:numPr>
        <w:rPr>
          <w:lang w:val="en-US"/>
        </w:rPr>
      </w:pPr>
      <w:r>
        <w:rPr>
          <w:rFonts w:hint="eastAsia"/>
          <w:lang w:val="en-US"/>
        </w:rPr>
        <w:t>查看详情</w:t>
      </w:r>
    </w:p>
    <w:p w14:paraId="26ACD3A6">
      <w:pPr>
        <w:numPr>
          <w:ilvl w:val="2"/>
          <w:numId w:val="2"/>
        </w:numPr>
        <w:outlineLvl w:val="2"/>
        <w:rPr>
          <w:lang w:val="en-US"/>
        </w:rPr>
      </w:pPr>
      <w:bookmarkStart w:id="9" w:name="_Toc3824"/>
      <w:r>
        <w:rPr>
          <w:rFonts w:hint="eastAsia"/>
          <w:lang w:val="en-US"/>
        </w:rPr>
        <w:t>审核中</w:t>
      </w:r>
      <w:bookmarkEnd w:id="9"/>
    </w:p>
    <w:p w14:paraId="54C3A621">
      <w:pPr>
        <w:ind w:firstLine="420"/>
        <w:rPr>
          <w:sz w:val="24"/>
          <w:szCs w:val="24"/>
          <w:lang w:val="zh-CN"/>
        </w:rPr>
      </w:pPr>
      <w:r>
        <w:rPr>
          <w:rFonts w:hint="default"/>
          <w:sz w:val="24"/>
          <w:szCs w:val="24"/>
          <w:lang w:val="zh-CN"/>
        </w:rPr>
        <w:t>对于审核中的参评奖项，可以点击”查看详情“查看办理进度以及办理详情。</w:t>
      </w:r>
    </w:p>
    <w:p w14:paraId="63D7B42C">
      <w:pPr>
        <w:ind w:firstLine="420"/>
        <w:rPr>
          <w:sz w:val="24"/>
          <w:szCs w:val="24"/>
        </w:rPr>
      </w:pPr>
    </w:p>
    <w:p w14:paraId="3B2C87F4">
      <w:pPr>
        <w:ind w:firstLine="420"/>
        <w:rPr>
          <w:sz w:val="24"/>
          <w:szCs w:val="24"/>
        </w:rPr>
      </w:pPr>
      <w:r>
        <w:rPr>
          <w:sz w:val="24"/>
          <w:szCs w:val="24"/>
          <w:lang w:val="zh-CN" w:bidi="ar-SA"/>
        </w:rPr>
        <w:drawing>
          <wp:inline distT="0" distB="0" distL="114300" distR="114300">
            <wp:extent cx="5475605" cy="1410970"/>
            <wp:effectExtent l="0" t="0" r="1270" b="8255"/>
            <wp:docPr id="3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141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9319F">
      <w:pPr>
        <w:ind w:firstLine="420"/>
        <w:rPr>
          <w:sz w:val="24"/>
          <w:szCs w:val="24"/>
        </w:rPr>
      </w:pPr>
      <w:r>
        <w:rPr>
          <w:sz w:val="24"/>
          <w:szCs w:val="24"/>
          <w:lang w:val="zh-CN" w:bidi="ar-SA"/>
        </w:rPr>
        <w:drawing>
          <wp:inline distT="0" distB="0" distL="114300" distR="114300">
            <wp:extent cx="5475605" cy="2016760"/>
            <wp:effectExtent l="0" t="0" r="1270" b="2540"/>
            <wp:docPr id="3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201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2892C">
      <w:pPr>
        <w:ind w:firstLine="420"/>
        <w:rPr>
          <w:sz w:val="24"/>
          <w:szCs w:val="24"/>
        </w:rPr>
      </w:pPr>
    </w:p>
    <w:p w14:paraId="6101ECD8">
      <w:pPr>
        <w:numPr>
          <w:ilvl w:val="2"/>
          <w:numId w:val="2"/>
        </w:numPr>
        <w:outlineLvl w:val="2"/>
        <w:rPr>
          <w:rFonts w:hint="eastAsia"/>
          <w:lang w:val="zh-CN"/>
        </w:rPr>
      </w:pPr>
      <w:bookmarkStart w:id="10" w:name="_Toc22594"/>
      <w:r>
        <w:rPr>
          <w:rFonts w:hint="default"/>
          <w:lang w:val="zh-CN"/>
        </w:rPr>
        <w:t>已通过</w:t>
      </w:r>
      <w:bookmarkEnd w:id="10"/>
    </w:p>
    <w:p w14:paraId="3631C959">
      <w:pPr>
        <w:ind w:firstLine="420"/>
        <w:outlineLvl w:val="9"/>
        <w:rPr>
          <w:sz w:val="24"/>
          <w:szCs w:val="24"/>
        </w:rPr>
      </w:pPr>
      <w:bookmarkStart w:id="11" w:name="_Toc23684"/>
      <w:bookmarkStart w:id="12" w:name="_Toc30495"/>
      <w:bookmarkStart w:id="13" w:name="_Toc28146"/>
      <w:bookmarkStart w:id="14" w:name="_Toc25017"/>
      <w:bookmarkStart w:id="15" w:name="_Toc1420"/>
      <w:r>
        <w:rPr>
          <w:rFonts w:hint="default"/>
          <w:sz w:val="24"/>
          <w:szCs w:val="24"/>
          <w:lang w:val="zh-CN"/>
        </w:rPr>
        <w:t>对于已通过的可参评奖项，可以点击”查看详情“查看办理详情记录</w:t>
      </w:r>
      <w:bookmarkEnd w:id="11"/>
      <w:bookmarkEnd w:id="12"/>
      <w:bookmarkEnd w:id="13"/>
      <w:bookmarkEnd w:id="14"/>
      <w:r>
        <w:rPr>
          <w:rFonts w:hint="default"/>
          <w:sz w:val="24"/>
          <w:szCs w:val="24"/>
          <w:lang w:val="zh-CN"/>
        </w:rPr>
        <w:t>。</w:t>
      </w:r>
      <w:bookmarkEnd w:id="15"/>
    </w:p>
    <w:p w14:paraId="2B915750">
      <w:pPr>
        <w:ind w:firstLine="420"/>
        <w:outlineLvl w:val="2"/>
        <w:rPr>
          <w:lang w:val="en-US"/>
        </w:rPr>
      </w:pPr>
      <w:bookmarkStart w:id="16" w:name="_Toc18111"/>
      <w:bookmarkStart w:id="17" w:name="_Toc12130"/>
      <w:r>
        <w:rPr>
          <w:lang w:val="en-US" w:bidi="ar-SA"/>
        </w:rPr>
        <w:drawing>
          <wp:inline distT="0" distB="0" distL="114300" distR="114300">
            <wp:extent cx="5478145" cy="1186180"/>
            <wp:effectExtent l="0" t="0" r="8255" b="4445"/>
            <wp:docPr id="3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118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6"/>
      <w:bookmarkEnd w:id="17"/>
    </w:p>
    <w:p w14:paraId="493EAA08">
      <w:pPr>
        <w:pStyle w:val="4"/>
        <w:numPr>
          <w:ilvl w:val="1"/>
          <w:numId w:val="2"/>
        </w:numPr>
        <w:rPr>
          <w:lang w:val="en-US"/>
        </w:rPr>
      </w:pPr>
      <w:r>
        <w:rPr>
          <w:rFonts w:hint="eastAsia"/>
          <w:lang w:val="en-US"/>
        </w:rPr>
        <w:t>重新办理</w:t>
      </w:r>
    </w:p>
    <w:p w14:paraId="6A85A892">
      <w:pPr>
        <w:numPr>
          <w:ilvl w:val="2"/>
          <w:numId w:val="2"/>
        </w:numPr>
        <w:outlineLvl w:val="2"/>
        <w:rPr>
          <w:lang w:val="en-US"/>
        </w:rPr>
      </w:pPr>
      <w:bookmarkStart w:id="18" w:name="_Toc18268"/>
      <w:r>
        <w:rPr>
          <w:rFonts w:hint="eastAsia"/>
          <w:lang w:val="en-US"/>
        </w:rPr>
        <w:t>不通过</w:t>
      </w:r>
      <w:bookmarkEnd w:id="18"/>
    </w:p>
    <w:p w14:paraId="706D9F55">
      <w:pPr>
        <w:ind w:firstLine="420"/>
        <w:outlineLvl w:val="9"/>
        <w:rPr>
          <w:color w:val="494949"/>
          <w:sz w:val="24"/>
          <w:szCs w:val="24"/>
          <w:lang w:val="zh-CN" w:bidi="ar"/>
        </w:rPr>
      </w:pPr>
      <w:bookmarkStart w:id="19" w:name="_Toc14797"/>
      <w:bookmarkStart w:id="20" w:name="_Toc28437"/>
      <w:bookmarkStart w:id="21" w:name="_Toc28825"/>
      <w:bookmarkStart w:id="22" w:name="_Toc11581"/>
      <w:bookmarkStart w:id="23" w:name="_Toc26454"/>
      <w:r>
        <w:rPr>
          <w:rFonts w:hint="default"/>
          <w:color w:val="494949"/>
          <w:sz w:val="24"/>
          <w:szCs w:val="24"/>
          <w:lang w:val="zh-CN" w:bidi="ar"/>
        </w:rPr>
        <w:t>请及时查看已提交申请的奖项审核进度，当审核不通过时，可在办理时间范围内重新办理。</w:t>
      </w:r>
      <w:bookmarkEnd w:id="19"/>
      <w:bookmarkEnd w:id="20"/>
      <w:bookmarkEnd w:id="21"/>
      <w:bookmarkEnd w:id="22"/>
      <w:bookmarkEnd w:id="23"/>
    </w:p>
    <w:p w14:paraId="746D878E">
      <w:pPr>
        <w:ind w:firstLine="420"/>
        <w:outlineLvl w:val="9"/>
        <w:rPr>
          <w:sz w:val="24"/>
          <w:szCs w:val="24"/>
          <w:lang w:val="zh-CN"/>
        </w:rPr>
      </w:pPr>
      <w:bookmarkStart w:id="24" w:name="_Toc4066"/>
      <w:r>
        <w:rPr>
          <w:sz w:val="24"/>
          <w:szCs w:val="24"/>
          <w:lang w:val="zh-CN" w:bidi="ar-SA"/>
        </w:rPr>
        <w:drawing>
          <wp:inline distT="0" distB="0" distL="114300" distR="114300">
            <wp:extent cx="5474970" cy="1353820"/>
            <wp:effectExtent l="0" t="0" r="1905" b="8255"/>
            <wp:docPr id="3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135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4"/>
    </w:p>
    <w:p w14:paraId="1DDDE7D3">
      <w:pPr>
        <w:ind w:firstLine="420"/>
        <w:rPr>
          <w:sz w:val="24"/>
          <w:szCs w:val="24"/>
          <w:lang w:val="zh-CN"/>
        </w:rPr>
      </w:pPr>
      <w:r>
        <w:rPr>
          <w:rFonts w:hint="default"/>
          <w:sz w:val="24"/>
          <w:szCs w:val="24"/>
          <w:lang w:val="zh-CN"/>
        </w:rPr>
        <w:t>点击”重新办理“，可查看审核人员给予的办理意见，并进行重新办理。</w:t>
      </w:r>
    </w:p>
    <w:p w14:paraId="76E51CA2">
      <w:pPr>
        <w:ind w:firstLine="420"/>
        <w:jc w:val="both"/>
      </w:pPr>
      <w:r>
        <w:rPr>
          <w:lang w:val="en-US" w:bidi="ar-SA"/>
        </w:rPr>
        <w:drawing>
          <wp:inline distT="0" distB="0" distL="114300" distR="114300">
            <wp:extent cx="5478780" cy="1298575"/>
            <wp:effectExtent l="0" t="0" r="7620" b="6350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129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8F151">
      <w:pPr>
        <w:numPr>
          <w:ilvl w:val="2"/>
          <w:numId w:val="2"/>
        </w:numPr>
        <w:outlineLvl w:val="2"/>
        <w:rPr>
          <w:lang w:val="en-US"/>
        </w:rPr>
      </w:pPr>
      <w:bookmarkStart w:id="25" w:name="_Toc7929"/>
      <w:r>
        <w:rPr>
          <w:rFonts w:hint="eastAsia"/>
          <w:lang w:val="en-US"/>
        </w:rPr>
        <w:t>回退</w:t>
      </w:r>
      <w:bookmarkEnd w:id="25"/>
    </w:p>
    <w:p w14:paraId="39B85674">
      <w:pPr>
        <w:ind w:firstLine="420"/>
        <w:outlineLvl w:val="9"/>
        <w:rPr>
          <w:sz w:val="24"/>
          <w:szCs w:val="24"/>
          <w:lang w:val="zh-CN" w:bidi="ar"/>
        </w:rPr>
      </w:pPr>
      <w:r>
        <w:rPr>
          <w:rFonts w:hint="default"/>
          <w:sz w:val="24"/>
          <w:szCs w:val="24"/>
          <w:lang w:val="zh-CN" w:bidi="ar"/>
        </w:rPr>
        <w:t>当可参评奖项被回退时，请在办理时间范围内及时处理，点击”重新办理“即可。</w:t>
      </w:r>
    </w:p>
    <w:p w14:paraId="6A387046">
      <w:pPr>
        <w:ind w:firstLine="420"/>
      </w:pPr>
      <w:r>
        <w:rPr>
          <w:lang w:val="en-US" w:bidi="ar-SA"/>
        </w:rPr>
        <w:drawing>
          <wp:inline distT="0" distB="0" distL="114300" distR="114300">
            <wp:extent cx="5476240" cy="1289050"/>
            <wp:effectExtent l="0" t="0" r="635" b="6350"/>
            <wp:docPr id="3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76240" cy="12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481BC">
      <w:pPr>
        <w:jc w:val="both"/>
        <w:rPr>
          <w:lang w:val="en-US"/>
        </w:rPr>
      </w:pPr>
    </w:p>
    <w:sectPr>
      <w:pgSz w:w="11910" w:h="16840"/>
      <w:pgMar w:top="1500" w:right="1600" w:bottom="280" w:left="168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B8633E4"/>
    <w:multiLevelType w:val="multilevel"/>
    <w:tmpl w:val="9B8633E4"/>
    <w:lvl w:ilvl="0" w:tentative="0">
      <w:start w:val="1"/>
      <w:numFmt w:val="decimal"/>
      <w:suff w:val="space"/>
      <w:lvlText w:val="%1."/>
      <w:lvlJc w:val="left"/>
    </w:lvl>
    <w:lvl w:ilvl="1" w:tentative="0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">
    <w:nsid w:val="D2675B45"/>
    <w:multiLevelType w:val="multilevel"/>
    <w:tmpl w:val="D2675B45"/>
    <w:lvl w:ilvl="0" w:tentative="0">
      <w:start w:val="1"/>
      <w:numFmt w:val="decimal"/>
      <w:suff w:val="space"/>
      <w:lvlText w:val="%1."/>
      <w:lvlJc w:val="left"/>
    </w:lvl>
    <w:lvl w:ilvl="1" w:tentative="0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RhZjhlYzA3ZDFlODFjMDlhNzQzYmZkZGExMTdmNTYifQ=="/>
  </w:docVars>
  <w:rsids>
    <w:rsidRoot w:val="568A0AA6"/>
    <w:rsid w:val="00195C06"/>
    <w:rsid w:val="001E3033"/>
    <w:rsid w:val="001E6AF7"/>
    <w:rsid w:val="002A7CC3"/>
    <w:rsid w:val="00572C71"/>
    <w:rsid w:val="005E4C77"/>
    <w:rsid w:val="00EC1C1B"/>
    <w:rsid w:val="017254EA"/>
    <w:rsid w:val="0205071C"/>
    <w:rsid w:val="031174B4"/>
    <w:rsid w:val="06346C88"/>
    <w:rsid w:val="0B567EC1"/>
    <w:rsid w:val="0B9E791C"/>
    <w:rsid w:val="0D67705E"/>
    <w:rsid w:val="0EA622AF"/>
    <w:rsid w:val="128E7108"/>
    <w:rsid w:val="13416631"/>
    <w:rsid w:val="1D035B01"/>
    <w:rsid w:val="1D350342"/>
    <w:rsid w:val="1DCC5203"/>
    <w:rsid w:val="1EAC1BDD"/>
    <w:rsid w:val="233F5F28"/>
    <w:rsid w:val="2B504C34"/>
    <w:rsid w:val="2F764986"/>
    <w:rsid w:val="32CE31C0"/>
    <w:rsid w:val="356B4540"/>
    <w:rsid w:val="3662666E"/>
    <w:rsid w:val="3D3800EE"/>
    <w:rsid w:val="3DBEDD1F"/>
    <w:rsid w:val="44F34639"/>
    <w:rsid w:val="474D43C9"/>
    <w:rsid w:val="4A394F08"/>
    <w:rsid w:val="4AC566A4"/>
    <w:rsid w:val="4DB162AD"/>
    <w:rsid w:val="52731B84"/>
    <w:rsid w:val="54E60658"/>
    <w:rsid w:val="56090A28"/>
    <w:rsid w:val="568A0AA6"/>
    <w:rsid w:val="5B2C40D2"/>
    <w:rsid w:val="60750944"/>
    <w:rsid w:val="61B56E28"/>
    <w:rsid w:val="68AF4839"/>
    <w:rsid w:val="68D07E12"/>
    <w:rsid w:val="69575AA9"/>
    <w:rsid w:val="6C8E62AD"/>
    <w:rsid w:val="6CD84C29"/>
    <w:rsid w:val="6E5E569D"/>
    <w:rsid w:val="6FD636B1"/>
    <w:rsid w:val="6FD67190"/>
    <w:rsid w:val="6FD81B0D"/>
    <w:rsid w:val="74956297"/>
    <w:rsid w:val="78D05450"/>
    <w:rsid w:val="7B181C6D"/>
    <w:rsid w:val="7B462E29"/>
    <w:rsid w:val="7C4E24B6"/>
    <w:rsid w:val="7F377124"/>
    <w:rsid w:val="7FAD5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微软雅黑" w:hAnsi="微软雅黑" w:eastAsia="微软雅黑" w:cs="微软雅黑"/>
      <w:sz w:val="22"/>
      <w:szCs w:val="22"/>
      <w:lang w:val="zh-CN" w:eastAsia="zh-CN" w:bidi="zh-CN"/>
    </w:rPr>
  </w:style>
  <w:style w:type="paragraph" w:styleId="2">
    <w:name w:val="heading 1"/>
    <w:basedOn w:val="1"/>
    <w:next w:val="1"/>
    <w:qFormat/>
    <w:uiPriority w:val="1"/>
    <w:pPr>
      <w:ind w:left="696" w:hanging="576"/>
      <w:outlineLvl w:val="0"/>
    </w:pPr>
    <w:rPr>
      <w:b/>
      <w:bCs/>
      <w:sz w:val="32"/>
      <w:szCs w:val="32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5"/>
    <w:basedOn w:val="1"/>
    <w:next w:val="1"/>
    <w:unhideWhenUsed/>
    <w:qFormat/>
    <w:uiPriority w:val="0"/>
    <w:pPr>
      <w:keepNext/>
      <w:keepLines/>
      <w:spacing w:before="280" w:after="290" w:line="372" w:lineRule="auto"/>
      <w:outlineLvl w:val="4"/>
    </w:pPr>
    <w:rPr>
      <w:b/>
      <w:sz w:val="28"/>
    </w:rPr>
  </w:style>
  <w:style w:type="paragraph" w:styleId="5">
    <w:name w:val="heading 8"/>
    <w:basedOn w:val="1"/>
    <w:next w:val="1"/>
    <w:unhideWhenUsed/>
    <w:qFormat/>
    <w:uiPriority w:val="0"/>
    <w:pPr>
      <w:keepNext/>
      <w:keepLines/>
      <w:spacing w:before="240" w:after="64" w:line="317" w:lineRule="auto"/>
      <w:outlineLvl w:val="7"/>
    </w:pPr>
    <w:rPr>
      <w:rFonts w:ascii="Arial" w:hAnsi="Arial" w:eastAsia="黑体"/>
      <w:sz w:val="24"/>
    </w:rPr>
  </w:style>
  <w:style w:type="paragraph" w:styleId="6">
    <w:name w:val="heading 9"/>
    <w:basedOn w:val="1"/>
    <w:next w:val="1"/>
    <w:unhideWhenUsed/>
    <w:qFormat/>
    <w:uiPriority w:val="0"/>
    <w:pPr>
      <w:keepNext/>
      <w:keepLines/>
      <w:spacing w:before="240" w:after="64" w:line="317" w:lineRule="auto"/>
      <w:outlineLvl w:val="8"/>
    </w:pPr>
    <w:rPr>
      <w:rFonts w:ascii="Arial" w:hAnsi="Arial" w:eastAsia="黑体"/>
      <w:sz w:val="21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Body Text"/>
    <w:basedOn w:val="1"/>
    <w:qFormat/>
    <w:uiPriority w:val="1"/>
    <w:rPr>
      <w:sz w:val="24"/>
      <w:szCs w:val="24"/>
    </w:rPr>
  </w:style>
  <w:style w:type="paragraph" w:styleId="8">
    <w:name w:val="toc 3"/>
    <w:basedOn w:val="1"/>
    <w:next w:val="1"/>
    <w:qFormat/>
    <w:uiPriority w:val="0"/>
    <w:pPr>
      <w:ind w:left="840" w:leftChars="400"/>
    </w:pPr>
  </w:style>
  <w:style w:type="paragraph" w:styleId="9">
    <w:name w:val="Balloon Text"/>
    <w:basedOn w:val="1"/>
    <w:link w:val="17"/>
    <w:qFormat/>
    <w:uiPriority w:val="0"/>
    <w:rPr>
      <w:sz w:val="18"/>
      <w:szCs w:val="18"/>
    </w:rPr>
  </w:style>
  <w:style w:type="paragraph" w:styleId="10">
    <w:name w:val="toc 1"/>
    <w:basedOn w:val="1"/>
    <w:next w:val="1"/>
    <w:qFormat/>
    <w:uiPriority w:val="0"/>
  </w:style>
  <w:style w:type="paragraph" w:styleId="11">
    <w:name w:val="toc 2"/>
    <w:basedOn w:val="1"/>
    <w:next w:val="1"/>
    <w:qFormat/>
    <w:uiPriority w:val="0"/>
    <w:pPr>
      <w:ind w:left="420" w:leftChars="200"/>
    </w:pPr>
  </w:style>
  <w:style w:type="paragraph" w:styleId="12">
    <w:name w:val="Normal (Web)"/>
    <w:basedOn w:val="1"/>
    <w:qFormat/>
    <w:uiPriority w:val="0"/>
    <w:pPr>
      <w:spacing w:beforeAutospacing="1" w:afterAutospacing="1"/>
    </w:pPr>
    <w:rPr>
      <w:rFonts w:cs="Times New Roman"/>
      <w:sz w:val="24"/>
      <w:lang w:val="en-US" w:bidi="ar-SA"/>
    </w:rPr>
  </w:style>
  <w:style w:type="character" w:styleId="15">
    <w:name w:val="Hyperlink"/>
    <w:basedOn w:val="14"/>
    <w:qFormat/>
    <w:uiPriority w:val="0"/>
    <w:rPr>
      <w:color w:val="0000FF"/>
      <w:u w:val="single"/>
    </w:rPr>
  </w:style>
  <w:style w:type="paragraph" w:styleId="16">
    <w:name w:val="List Paragraph"/>
    <w:basedOn w:val="1"/>
    <w:qFormat/>
    <w:uiPriority w:val="1"/>
    <w:pPr>
      <w:ind w:left="984" w:hanging="864"/>
    </w:pPr>
  </w:style>
  <w:style w:type="character" w:customStyle="1" w:styleId="17">
    <w:name w:val="批注框文本 字符"/>
    <w:basedOn w:val="14"/>
    <w:link w:val="9"/>
    <w:qFormat/>
    <w:uiPriority w:val="0"/>
    <w:rPr>
      <w:rFonts w:ascii="微软雅黑" w:hAnsi="微软雅黑" w:eastAsia="微软雅黑" w:cs="微软雅黑"/>
      <w:sz w:val="18"/>
      <w:szCs w:val="18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9</Pages>
  <Words>929</Words>
  <Characters>1048</Characters>
  <Lines>13</Lines>
  <Paragraphs>3</Paragraphs>
  <TotalTime>2</TotalTime>
  <ScaleCrop>false</ScaleCrop>
  <LinksUpToDate>false</LinksUpToDate>
  <CharactersWithSpaces>1068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2021-08-03T23:38:00Z</dcterms:created>
  <dc:creator>yoki</dc:creator>
  <cp:lastModifiedBy>赖允杰</cp:lastModifiedBy>
  <dcterms:modified xsi:type="dcterms:W3CDTF">2025-09-23T10:30:24Z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FF397DA4844743798EEA9848CC1D5783_13</vt:lpwstr>
  </property>
  <property fmtid="{D5CDD505-2E9C-101B-9397-08002B2CF9AE}" pid="4" name="KSOTemplateDocerSaveRecord">
    <vt:lpwstr>eyJoZGlkIjoiN2FhOGFiOTI4YzZhZmYxMDA3ZGU5YzA1MTI5NTg3NmMiLCJ1c2VySWQiOiIxNjY3Mzk0NjgzIn0=</vt:lpwstr>
  </property>
</Properties>
</file>