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645A38" w:rsidP="00645A38" w14:paraId="4B2A8463" w14:textId="7CC1FF57">
      <w:pPr>
        <w:spacing w:line="520" w:lineRule="atLeast"/>
        <w:rPr>
          <w:rFonts w:ascii="仿宋_GB2312"/>
        </w:rPr>
      </w:pPr>
      <w:r w:rsidRPr="00645A38">
        <w:rPr>
          <w:rFonts w:ascii="仿宋_GB2312" w:hint="eastAsia"/>
        </w:rPr>
        <w:t>附件1</w:t>
      </w:r>
    </w:p>
    <w:p w:rsidR="00645A38" w:rsidRPr="00645A38" w:rsidP="00645A38" w14:paraId="396DA611" w14:textId="77777777">
      <w:pPr>
        <w:spacing w:line="520" w:lineRule="atLeast"/>
        <w:rPr>
          <w:rFonts w:ascii="仿宋_GB2312"/>
        </w:rPr>
      </w:pPr>
    </w:p>
    <w:p w:rsidR="00FB54CA" w:rsidP="00BC272D" w14:paraId="4D5FBFB3" w14:textId="678A995D">
      <w:pPr>
        <w:spacing w:line="520" w:lineRule="atLeast"/>
        <w:jc w:val="center"/>
        <w:rPr>
          <w:rFonts w:ascii="宋体" w:eastAsia="宋体" w:hAnsi="宋体" w:cs="Times New Roman"/>
          <w:sz w:val="44"/>
          <w:szCs w:val="44"/>
        </w:rPr>
      </w:pPr>
      <w:r>
        <w:rPr>
          <w:rFonts w:eastAsia="方正小标宋简体" w:hint="eastAsia"/>
          <w:sz w:val="44"/>
        </w:rPr>
        <w:t>《中山大学横向科研项目经费管理办法》（中大科研〔</w:t>
      </w:r>
      <w:r>
        <w:rPr>
          <w:rFonts w:eastAsia="方正小标宋简体" w:hint="eastAsia"/>
          <w:sz w:val="44"/>
        </w:rPr>
        <w:t>2022</w:t>
      </w:r>
      <w:r>
        <w:rPr>
          <w:rFonts w:eastAsia="方正小标宋简体" w:hint="eastAsia"/>
          <w:sz w:val="44"/>
        </w:rPr>
        <w:t>〕</w:t>
      </w:r>
      <w:r>
        <w:rPr>
          <w:rFonts w:eastAsia="方正小标宋简体" w:hint="eastAsia"/>
          <w:sz w:val="44"/>
        </w:rPr>
        <w:t>59</w:t>
      </w:r>
      <w:r>
        <w:rPr>
          <w:rFonts w:eastAsia="方正小标宋简体" w:hint="eastAsia"/>
          <w:sz w:val="44"/>
        </w:rPr>
        <w:t>号）制度问答</w:t>
      </w:r>
    </w:p>
    <w:p w:rsidR="00E072D6" w:rsidRPr="00E072D6" w:rsidP="00E072D6" w14:paraId="4A1B28A1" w14:textId="2EBC7466">
      <w:pPr>
        <w:adjustRightInd/>
        <w:snapToGrid/>
        <w:spacing w:line="540" w:lineRule="exact"/>
        <w:jc w:val="both"/>
        <w:rPr>
          <w:rFonts w:cs="Times New Roman"/>
          <w:szCs w:val="32"/>
        </w:rPr>
      </w:pPr>
      <w:r>
        <w:rPr>
          <w:rFonts w:ascii="宋体" w:eastAsia="宋体" w:hAnsi="宋体" w:cs="Times New Roman"/>
          <w:szCs w:val="32"/>
        </w:rPr>
        <w:t xml:space="preserve">    </w:t>
      </w:r>
    </w:p>
    <w:p w:rsidR="00FB54CA" w:rsidP="00062834" w14:paraId="6D82876F" w14:textId="5028D90A">
      <w:pPr>
        <w:spacing w:line="520" w:lineRule="exact"/>
        <w:ind w:firstLine="640" w:firstLineChars="200"/>
        <w:rPr>
          <w:rFonts w:cs="Times New Roman"/>
          <w:b/>
          <w:szCs w:val="32"/>
        </w:rPr>
      </w:pPr>
      <w:r w:rsidRPr="007566BA">
        <w:rPr>
          <w:rFonts w:cs="Times New Roman"/>
          <w:b/>
          <w:szCs w:val="32"/>
        </w:rPr>
        <w:t>1</w:t>
      </w:r>
      <w:r w:rsidRPr="007566BA" w:rsidR="00423AC2">
        <w:rPr>
          <w:rFonts w:cs="Times New Roman"/>
          <w:b/>
          <w:szCs w:val="32"/>
        </w:rPr>
        <w:t xml:space="preserve">. </w:t>
      </w:r>
      <w:r w:rsidR="001019CC">
        <w:rPr>
          <w:rFonts w:cs="Times New Roman" w:hint="eastAsia"/>
          <w:b/>
          <w:szCs w:val="32"/>
        </w:rPr>
        <w:t>新的</w:t>
      </w:r>
      <w:r w:rsidR="000B68BE">
        <w:rPr>
          <w:rFonts w:cs="Times New Roman" w:hint="eastAsia"/>
          <w:b/>
          <w:szCs w:val="32"/>
        </w:rPr>
        <w:t>横向科研项目</w:t>
      </w:r>
      <w:r w:rsidR="001019CC">
        <w:rPr>
          <w:rFonts w:cs="Times New Roman" w:hint="eastAsia"/>
          <w:b/>
          <w:szCs w:val="32"/>
        </w:rPr>
        <w:t>预算科目是</w:t>
      </w:r>
      <w:r w:rsidR="000B68BE">
        <w:rPr>
          <w:rFonts w:cs="Times New Roman" w:hint="eastAsia"/>
          <w:b/>
          <w:szCs w:val="32"/>
        </w:rPr>
        <w:t>怎样的</w:t>
      </w:r>
      <w:r w:rsidRPr="007566BA" w:rsidR="00423AC2">
        <w:rPr>
          <w:rFonts w:cs="Times New Roman" w:hint="eastAsia"/>
          <w:b/>
          <w:szCs w:val="32"/>
        </w:rPr>
        <w:t>？</w:t>
      </w:r>
      <w:r w:rsidR="00185034">
        <w:rPr>
          <w:rFonts w:cs="Times New Roman" w:hint="eastAsia"/>
          <w:b/>
          <w:szCs w:val="32"/>
        </w:rPr>
        <w:t>增加了什么开支范围？</w:t>
      </w:r>
    </w:p>
    <w:p w:rsidR="000B68BE" w:rsidP="00062834" w14:paraId="46C86B34" w14:textId="5F0C6B01">
      <w:pPr>
        <w:spacing w:line="520" w:lineRule="exact"/>
        <w:ind w:firstLine="640" w:firstLineChars="200"/>
        <w:jc w:val="both"/>
        <w:rPr>
          <w:rFonts w:cs="Times New Roman"/>
          <w:szCs w:val="32"/>
        </w:rPr>
      </w:pPr>
      <w:r w:rsidRPr="001019CC">
        <w:rPr>
          <w:rFonts w:cs="Times New Roman" w:hint="eastAsia"/>
          <w:szCs w:val="32"/>
        </w:rPr>
        <w:t>答</w:t>
      </w:r>
      <w:r w:rsidRPr="001019CC" w:rsidR="001019CC">
        <w:rPr>
          <w:rFonts w:cs="Times New Roman" w:hint="eastAsia"/>
          <w:szCs w:val="32"/>
        </w:rPr>
        <w:t>：</w:t>
      </w:r>
      <w:r>
        <w:rPr>
          <w:rFonts w:cs="Times New Roman" w:hint="eastAsia"/>
          <w:szCs w:val="32"/>
        </w:rPr>
        <w:t>新的</w:t>
      </w:r>
      <w:r w:rsidRPr="000B68BE">
        <w:rPr>
          <w:rFonts w:cs="Times New Roman" w:hint="eastAsia"/>
          <w:szCs w:val="32"/>
        </w:rPr>
        <w:t>横向科研项目经费预算由科研业务费、绩效支出、</w:t>
      </w:r>
      <w:r w:rsidRPr="000B68BE">
        <w:rPr>
          <w:rFonts w:cs="Times New Roman" w:hint="eastAsia"/>
          <w:szCs w:val="32"/>
        </w:rPr>
        <w:t>外拨经费</w:t>
      </w:r>
      <w:r w:rsidRPr="000B68BE">
        <w:rPr>
          <w:rFonts w:cs="Times New Roman" w:hint="eastAsia"/>
          <w:szCs w:val="32"/>
        </w:rPr>
        <w:t>、管理费等一级科目组成。</w:t>
      </w:r>
    </w:p>
    <w:p w:rsidR="00185034" w:rsidP="00062834" w14:paraId="7A71DCBA" w14:textId="528CD19E">
      <w:pPr>
        <w:spacing w:line="520" w:lineRule="exact"/>
        <w:ind w:firstLine="640" w:firstLineChars="200"/>
        <w:jc w:val="both"/>
        <w:rPr>
          <w:rFonts w:cs="Times New Roman"/>
          <w:szCs w:val="32"/>
        </w:rPr>
      </w:pPr>
      <w:r>
        <w:rPr>
          <w:rFonts w:cs="Times New Roman" w:hint="eastAsia"/>
          <w:szCs w:val="32"/>
        </w:rPr>
        <w:t>科研业务费预算科目中</w:t>
      </w:r>
      <w:r w:rsidRPr="00E47550">
        <w:rPr>
          <w:rFonts w:cs="Times New Roman" w:hint="eastAsia"/>
          <w:b/>
          <w:szCs w:val="32"/>
        </w:rPr>
        <w:t>增加</w:t>
      </w:r>
      <w:r>
        <w:rPr>
          <w:rFonts w:cs="Times New Roman" w:hint="eastAsia"/>
          <w:szCs w:val="32"/>
        </w:rPr>
        <w:t>了开展科研项目业务发生的相关办公费、水电费以及接待费，不再设立</w:t>
      </w:r>
      <w:r w:rsidR="00FF7983">
        <w:rPr>
          <w:rFonts w:cs="Times New Roman" w:hint="eastAsia"/>
          <w:szCs w:val="32"/>
        </w:rPr>
        <w:t>水电费及接待费的</w:t>
      </w:r>
      <w:r>
        <w:rPr>
          <w:rFonts w:cs="Times New Roman" w:hint="eastAsia"/>
          <w:szCs w:val="32"/>
        </w:rPr>
        <w:t>单项预算，科研业务费由项目负责人统筹安排使用。</w:t>
      </w:r>
    </w:p>
    <w:p w:rsidR="00B4153F" w:rsidRPr="007566BA" w:rsidP="00062834" w14:paraId="62F1867E" w14:textId="15ED2FAD">
      <w:pPr>
        <w:spacing w:line="520" w:lineRule="exact"/>
        <w:ind w:firstLine="645"/>
        <w:jc w:val="both"/>
        <w:rPr>
          <w:rFonts w:cs="Times New Roman"/>
          <w:b/>
          <w:szCs w:val="32"/>
        </w:rPr>
      </w:pPr>
      <w:r>
        <w:rPr>
          <w:rFonts w:cs="Times New Roman"/>
          <w:b/>
          <w:szCs w:val="32"/>
        </w:rPr>
        <w:t>2</w:t>
      </w:r>
      <w:r w:rsidRPr="007566BA">
        <w:rPr>
          <w:rFonts w:cs="Times New Roman"/>
          <w:b/>
          <w:szCs w:val="32"/>
        </w:rPr>
        <w:t xml:space="preserve">. </w:t>
      </w:r>
      <w:r>
        <w:rPr>
          <w:rFonts w:cs="Times New Roman" w:hint="eastAsia"/>
          <w:b/>
          <w:szCs w:val="32"/>
        </w:rPr>
        <w:t>新的</w:t>
      </w:r>
      <w:r w:rsidRPr="007566BA">
        <w:rPr>
          <w:rFonts w:cs="Times New Roman" w:hint="eastAsia"/>
          <w:b/>
          <w:szCs w:val="32"/>
        </w:rPr>
        <w:t>管理费比例是怎样的？</w:t>
      </w:r>
      <w:r w:rsidR="009843EC">
        <w:rPr>
          <w:rFonts w:cs="Times New Roman" w:hint="eastAsia"/>
          <w:b/>
          <w:szCs w:val="32"/>
        </w:rPr>
        <w:t>技术开发类合同管理费可降至</w:t>
      </w:r>
      <w:r w:rsidR="009843EC">
        <w:rPr>
          <w:rFonts w:cs="Times New Roman" w:hint="eastAsia"/>
          <w:b/>
          <w:szCs w:val="32"/>
        </w:rPr>
        <w:t>2</w:t>
      </w:r>
      <w:r w:rsidR="009843EC">
        <w:rPr>
          <w:rFonts w:cs="Times New Roman"/>
          <w:b/>
          <w:szCs w:val="32"/>
        </w:rPr>
        <w:t>%</w:t>
      </w:r>
      <w:r w:rsidR="009843EC">
        <w:rPr>
          <w:rFonts w:cs="Times New Roman" w:hint="eastAsia"/>
          <w:b/>
          <w:szCs w:val="32"/>
        </w:rPr>
        <w:t>？</w:t>
      </w:r>
    </w:p>
    <w:p w:rsidR="00B4153F" w:rsidP="00062834" w14:paraId="66C16E8E" w14:textId="77777777">
      <w:pPr>
        <w:spacing w:line="520" w:lineRule="exact"/>
        <w:ind w:firstLine="645"/>
        <w:jc w:val="both"/>
        <w:rPr>
          <w:rFonts w:cs="Times New Roman"/>
          <w:color w:val="000000" w:themeColor="text1"/>
          <w:szCs w:val="32"/>
        </w:rPr>
      </w:pPr>
      <w:r>
        <w:rPr>
          <w:rFonts w:cs="Times New Roman" w:hint="eastAsia"/>
          <w:color w:val="000000" w:themeColor="text1"/>
          <w:szCs w:val="32"/>
        </w:rPr>
        <w:t>学校建立管理费动态调整机制，根据合同类型、知识产权归属、项目执行情况等因素动态调整学校及二级单位管理费比例，鼓励科研人员承担大项目、产出高质量科技成果。</w:t>
      </w:r>
    </w:p>
    <w:p w:rsidR="00B4153F" w:rsidP="00062834" w14:paraId="25BB352C" w14:textId="6FE62EA8">
      <w:pPr>
        <w:spacing w:line="520" w:lineRule="exact"/>
        <w:ind w:firstLine="645"/>
        <w:jc w:val="both"/>
        <w:rPr>
          <w:rFonts w:cs="Times New Roman"/>
          <w:b/>
          <w:color w:val="FF0000"/>
          <w:szCs w:val="32"/>
        </w:rPr>
      </w:pPr>
      <w:r w:rsidRPr="00790CAB">
        <w:rPr>
          <w:rFonts w:cs="Times New Roman" w:hint="eastAsia"/>
          <w:color w:val="000000" w:themeColor="text1"/>
          <w:szCs w:val="32"/>
        </w:rPr>
        <w:t>横向科研项目</w:t>
      </w:r>
      <w:r>
        <w:rPr>
          <w:rFonts w:cs="Times New Roman" w:hint="eastAsia"/>
          <w:color w:val="000000" w:themeColor="text1"/>
          <w:szCs w:val="32"/>
        </w:rPr>
        <w:t>新的学校管理费收取比例详见</w:t>
      </w:r>
      <w:r w:rsidR="00573674">
        <w:rPr>
          <w:rFonts w:cs="Times New Roman" w:hint="eastAsia"/>
          <w:color w:val="000000" w:themeColor="text1"/>
          <w:szCs w:val="32"/>
        </w:rPr>
        <w:t>表</w:t>
      </w:r>
      <w:r w:rsidR="00573674">
        <w:rPr>
          <w:rFonts w:cs="Times New Roman" w:hint="eastAsia"/>
          <w:color w:val="000000" w:themeColor="text1"/>
          <w:szCs w:val="32"/>
        </w:rPr>
        <w:t>1</w:t>
      </w:r>
      <w:r>
        <w:rPr>
          <w:rFonts w:cs="Times New Roman" w:hint="eastAsia"/>
          <w:color w:val="000000" w:themeColor="text1"/>
          <w:szCs w:val="32"/>
        </w:rPr>
        <w:t>，如有更新，以学校相关科研管理部门最新通知为准</w:t>
      </w:r>
      <w:r>
        <w:rPr>
          <w:rFonts w:cs="Times New Roman"/>
          <w:color w:val="000000" w:themeColor="text1"/>
          <w:szCs w:val="32"/>
        </w:rPr>
        <w:t>。</w:t>
      </w:r>
      <w:r>
        <w:rPr>
          <w:rFonts w:cs="Times New Roman" w:hint="eastAsia"/>
          <w:color w:val="000000" w:themeColor="text1"/>
          <w:szCs w:val="32"/>
        </w:rPr>
        <w:t>各二级单位</w:t>
      </w:r>
      <w:r>
        <w:rPr>
          <w:rFonts w:cs="Times New Roman"/>
          <w:color w:val="000000" w:themeColor="text1"/>
          <w:szCs w:val="32"/>
        </w:rPr>
        <w:t>管理费提取比例一般不超过</w:t>
      </w:r>
      <w:r>
        <w:rPr>
          <w:rFonts w:cs="Times New Roman"/>
          <w:color w:val="000000" w:themeColor="text1"/>
          <w:szCs w:val="32"/>
        </w:rPr>
        <w:t>3%</w:t>
      </w:r>
      <w:r>
        <w:rPr>
          <w:rFonts w:cs="Times New Roman" w:hint="eastAsia"/>
          <w:color w:val="000000" w:themeColor="text1"/>
          <w:szCs w:val="32"/>
        </w:rPr>
        <w:t>。</w:t>
      </w:r>
      <w:r>
        <w:rPr>
          <w:rFonts w:cs="Times New Roman" w:hint="eastAsia"/>
          <w:b/>
          <w:color w:val="FF0000"/>
          <w:szCs w:val="32"/>
        </w:rPr>
        <w:t>新的学校管理费收取比例自本通知发布起执行。</w:t>
      </w:r>
    </w:p>
    <w:p w:rsidR="00E6358D" w:rsidP="00062834" w14:paraId="71ADCF07" w14:textId="33EC3854">
      <w:pPr>
        <w:spacing w:line="520" w:lineRule="exact"/>
        <w:ind w:firstLine="645"/>
        <w:jc w:val="both"/>
        <w:rPr>
          <w:rFonts w:cs="Times New Roman"/>
          <w:b/>
          <w:color w:val="FF0000"/>
          <w:szCs w:val="32"/>
        </w:rPr>
      </w:pPr>
    </w:p>
    <w:p w:rsidR="00E6358D" w:rsidP="00062834" w14:paraId="0839C0DE" w14:textId="2AA8A9AA">
      <w:pPr>
        <w:spacing w:line="520" w:lineRule="exact"/>
        <w:ind w:firstLine="645"/>
        <w:jc w:val="both"/>
        <w:rPr>
          <w:rFonts w:cs="Times New Roman"/>
          <w:b/>
          <w:color w:val="FF0000"/>
          <w:szCs w:val="32"/>
        </w:rPr>
      </w:pPr>
    </w:p>
    <w:p w:rsidR="00E6358D" w:rsidP="00062834" w14:paraId="2381AE42" w14:textId="4106E91A">
      <w:pPr>
        <w:spacing w:line="520" w:lineRule="exact"/>
        <w:ind w:firstLine="645"/>
        <w:jc w:val="both"/>
        <w:rPr>
          <w:rFonts w:cs="Times New Roman"/>
          <w:b/>
          <w:color w:val="FF0000"/>
          <w:szCs w:val="32"/>
        </w:rPr>
      </w:pPr>
    </w:p>
    <w:p w:rsidR="00E6358D" w:rsidP="00062834" w14:paraId="41295D17" w14:textId="6AE5229B">
      <w:pPr>
        <w:spacing w:line="520" w:lineRule="exact"/>
        <w:ind w:firstLine="645"/>
        <w:jc w:val="both"/>
        <w:rPr>
          <w:rFonts w:cs="Times New Roman"/>
          <w:b/>
          <w:color w:val="FF0000"/>
          <w:szCs w:val="32"/>
        </w:rPr>
      </w:pPr>
    </w:p>
    <w:p w:rsidR="00E6358D" w:rsidP="00557530" w14:paraId="3A10CEA4" w14:textId="77777777">
      <w:pPr>
        <w:spacing w:line="520" w:lineRule="exact"/>
        <w:jc w:val="both"/>
        <w:rPr>
          <w:rFonts w:cs="Times New Roman"/>
          <w:b/>
          <w:color w:val="FF0000"/>
          <w:szCs w:val="32"/>
        </w:rPr>
      </w:pPr>
    </w:p>
    <w:tbl>
      <w:tblPr>
        <w:tblStyle w:val="TableGrid"/>
        <w:tblpPr w:leftFromText="180" w:rightFromText="180" w:vertAnchor="text" w:horzAnchor="margin" w:tblpY="872"/>
        <w:tblOverlap w:val="never"/>
        <w:tblW w:w="5380" w:type="pct"/>
        <w:tblInd w:w="0" w:type="dxa"/>
        <w:tblLook w:val="04A0"/>
      </w:tblPr>
      <w:tblGrid>
        <w:gridCol w:w="1091"/>
        <w:gridCol w:w="5745"/>
        <w:gridCol w:w="2090"/>
      </w:tblGrid>
      <w:tr w14:paraId="670AD1F2" w14:textId="77777777" w:rsidTr="00E6358D">
        <w:tblPrEx>
          <w:tblW w:w="5380" w:type="pct"/>
          <w:tblInd w:w="0" w:type="dxa"/>
          <w:tblLook w:val="04A0"/>
        </w:tblPrEx>
        <w:trPr>
          <w:trHeight w:val="500"/>
        </w:trPr>
        <w:tc>
          <w:tcPr>
            <w:tcW w:w="611" w:type="pct"/>
            <w:vAlign w:val="center"/>
          </w:tcPr>
          <w:p w:rsidR="00E6358D" w:rsidP="00E6358D" w14:paraId="3D6FED9E" w14:textId="77777777">
            <w:pPr>
              <w:spacing w:line="540" w:lineRule="exact"/>
              <w:jc w:val="center"/>
              <w:rPr>
                <w:b/>
                <w:color w:val="000000" w:themeColor="text1"/>
                <w:kern w:val="0"/>
                <w:sz w:val="28"/>
                <w:szCs w:val="28"/>
                <w:shd w:val="clear" w:color="auto" w:fill="FFFFFF"/>
              </w:rPr>
            </w:pPr>
            <w:r>
              <w:rPr>
                <w:rFonts w:hint="eastAsia"/>
                <w:b/>
                <w:color w:val="000000" w:themeColor="text1"/>
                <w:kern w:val="0"/>
                <w:sz w:val="28"/>
                <w:szCs w:val="28"/>
                <w:shd w:val="clear" w:color="auto" w:fill="FFFFFF"/>
              </w:rPr>
              <w:t>序号</w:t>
            </w:r>
          </w:p>
        </w:tc>
        <w:tc>
          <w:tcPr>
            <w:tcW w:w="3218" w:type="pct"/>
            <w:vAlign w:val="center"/>
          </w:tcPr>
          <w:p w:rsidR="00E6358D" w:rsidP="00E6358D" w14:paraId="09FBAC74" w14:textId="77777777">
            <w:pPr>
              <w:spacing w:line="540" w:lineRule="exact"/>
              <w:jc w:val="center"/>
              <w:rPr>
                <w:b/>
                <w:color w:val="000000" w:themeColor="text1"/>
                <w:kern w:val="0"/>
                <w:sz w:val="28"/>
                <w:szCs w:val="28"/>
                <w:shd w:val="clear" w:color="auto" w:fill="FFFFFF"/>
              </w:rPr>
            </w:pPr>
            <w:r>
              <w:rPr>
                <w:rFonts w:hint="eastAsia"/>
                <w:b/>
                <w:color w:val="000000" w:themeColor="text1"/>
                <w:kern w:val="0"/>
                <w:sz w:val="28"/>
                <w:szCs w:val="28"/>
                <w:shd w:val="clear" w:color="auto" w:fill="FFFFFF"/>
              </w:rPr>
              <w:t>条</w:t>
            </w:r>
            <w:r>
              <w:rPr>
                <w:b/>
                <w:color w:val="000000" w:themeColor="text1"/>
                <w:kern w:val="0"/>
                <w:sz w:val="28"/>
                <w:szCs w:val="28"/>
                <w:shd w:val="clear" w:color="auto" w:fill="FFFFFF"/>
              </w:rPr>
              <w:t xml:space="preserve"> </w:t>
            </w:r>
            <w:r>
              <w:rPr>
                <w:rFonts w:hint="eastAsia"/>
                <w:b/>
                <w:color w:val="000000" w:themeColor="text1"/>
                <w:kern w:val="0"/>
                <w:sz w:val="28"/>
                <w:szCs w:val="28"/>
                <w:shd w:val="clear" w:color="auto" w:fill="FFFFFF"/>
              </w:rPr>
              <w:t>件</w:t>
            </w:r>
          </w:p>
        </w:tc>
        <w:tc>
          <w:tcPr>
            <w:tcW w:w="1171" w:type="pct"/>
            <w:vAlign w:val="center"/>
          </w:tcPr>
          <w:p w:rsidR="00E6358D" w:rsidP="00E6358D" w14:paraId="1713A0C1" w14:textId="77777777">
            <w:pPr>
              <w:spacing w:line="540" w:lineRule="exact"/>
              <w:jc w:val="center"/>
              <w:rPr>
                <w:b/>
                <w:color w:val="000000" w:themeColor="text1"/>
                <w:kern w:val="0"/>
                <w:sz w:val="28"/>
                <w:szCs w:val="28"/>
                <w:shd w:val="clear" w:color="auto" w:fill="FFFFFF"/>
              </w:rPr>
            </w:pPr>
            <w:r>
              <w:rPr>
                <w:rFonts w:hint="eastAsia"/>
                <w:b/>
                <w:color w:val="000000" w:themeColor="text1"/>
                <w:kern w:val="0"/>
                <w:sz w:val="28"/>
                <w:szCs w:val="28"/>
                <w:shd w:val="clear" w:color="auto" w:fill="FFFFFF"/>
              </w:rPr>
              <w:t>学校管理费比例</w:t>
            </w:r>
          </w:p>
        </w:tc>
      </w:tr>
      <w:tr w14:paraId="517E9761" w14:textId="77777777" w:rsidTr="00E6358D">
        <w:tblPrEx>
          <w:tblW w:w="5380" w:type="pct"/>
          <w:tblInd w:w="0" w:type="dxa"/>
          <w:tblLook w:val="04A0"/>
        </w:tblPrEx>
        <w:tc>
          <w:tcPr>
            <w:tcW w:w="611" w:type="pct"/>
            <w:vAlign w:val="center"/>
          </w:tcPr>
          <w:p w:rsidR="00E6358D" w:rsidP="00E6358D" w14:paraId="252515D8" w14:textId="77777777">
            <w:pPr>
              <w:spacing w:line="540" w:lineRule="exact"/>
              <w:jc w:val="center"/>
              <w:rPr>
                <w:color w:val="000000" w:themeColor="text1"/>
                <w:kern w:val="0"/>
                <w:sz w:val="28"/>
                <w:szCs w:val="28"/>
                <w:shd w:val="clear" w:color="auto" w:fill="FFFFFF"/>
              </w:rPr>
            </w:pPr>
            <w:r>
              <w:rPr>
                <w:rFonts w:hint="eastAsia"/>
                <w:color w:val="000000" w:themeColor="text1"/>
                <w:kern w:val="0"/>
                <w:sz w:val="28"/>
                <w:szCs w:val="28"/>
                <w:shd w:val="clear" w:color="auto" w:fill="FFFFFF"/>
              </w:rPr>
              <w:t>1</w:t>
            </w:r>
          </w:p>
        </w:tc>
        <w:tc>
          <w:tcPr>
            <w:tcW w:w="3218" w:type="pct"/>
            <w:vAlign w:val="center"/>
          </w:tcPr>
          <w:p w:rsidR="00E6358D" w:rsidP="00E6358D" w14:paraId="1AC3CCA6" w14:textId="77777777">
            <w:pPr>
              <w:spacing w:line="540" w:lineRule="exact"/>
              <w:rPr>
                <w:color w:val="000000" w:themeColor="text1"/>
                <w:kern w:val="0"/>
                <w:sz w:val="28"/>
                <w:szCs w:val="28"/>
                <w:shd w:val="clear" w:color="auto" w:fill="FFFFFF"/>
              </w:rPr>
            </w:pPr>
            <w:r>
              <w:rPr>
                <w:color w:val="000000" w:themeColor="text1"/>
                <w:kern w:val="0"/>
                <w:sz w:val="28"/>
                <w:szCs w:val="28"/>
                <w:shd w:val="clear" w:color="auto" w:fill="FFFFFF"/>
              </w:rPr>
              <w:t>技术开发且知识产权共享</w:t>
            </w:r>
          </w:p>
        </w:tc>
        <w:tc>
          <w:tcPr>
            <w:tcW w:w="1171" w:type="pct"/>
            <w:vAlign w:val="center"/>
          </w:tcPr>
          <w:p w:rsidR="00E6358D" w:rsidP="00E6358D" w14:paraId="648EB33A" w14:textId="77777777">
            <w:pPr>
              <w:spacing w:line="540" w:lineRule="exact"/>
              <w:jc w:val="center"/>
              <w:rPr>
                <w:color w:val="000000" w:themeColor="text1"/>
                <w:kern w:val="0"/>
                <w:sz w:val="28"/>
                <w:szCs w:val="28"/>
                <w:shd w:val="clear" w:color="auto" w:fill="FFFFFF"/>
              </w:rPr>
            </w:pPr>
            <w:r>
              <w:rPr>
                <w:color w:val="000000" w:themeColor="text1"/>
                <w:kern w:val="0"/>
                <w:sz w:val="28"/>
                <w:szCs w:val="28"/>
                <w:shd w:val="clear" w:color="auto" w:fill="FFFFFF"/>
              </w:rPr>
              <w:t>2%</w:t>
            </w:r>
          </w:p>
        </w:tc>
      </w:tr>
      <w:tr w14:paraId="02DBA25D" w14:textId="77777777" w:rsidTr="00E6358D">
        <w:tblPrEx>
          <w:tblW w:w="5380" w:type="pct"/>
          <w:tblInd w:w="0" w:type="dxa"/>
          <w:tblLook w:val="04A0"/>
        </w:tblPrEx>
        <w:tc>
          <w:tcPr>
            <w:tcW w:w="611" w:type="pct"/>
            <w:vAlign w:val="center"/>
          </w:tcPr>
          <w:p w:rsidR="00E6358D" w:rsidP="00E6358D" w14:paraId="00823FE1" w14:textId="77777777">
            <w:pPr>
              <w:spacing w:line="540" w:lineRule="exact"/>
              <w:jc w:val="center"/>
              <w:rPr>
                <w:color w:val="000000" w:themeColor="text1"/>
                <w:kern w:val="0"/>
                <w:sz w:val="28"/>
                <w:szCs w:val="28"/>
                <w:shd w:val="clear" w:color="auto" w:fill="FFFFFF"/>
              </w:rPr>
            </w:pPr>
            <w:r>
              <w:rPr>
                <w:rFonts w:hint="eastAsia"/>
                <w:color w:val="000000" w:themeColor="text1"/>
                <w:kern w:val="0"/>
                <w:sz w:val="28"/>
                <w:szCs w:val="28"/>
                <w:shd w:val="clear" w:color="auto" w:fill="FFFFFF"/>
              </w:rPr>
              <w:t>2</w:t>
            </w:r>
          </w:p>
        </w:tc>
        <w:tc>
          <w:tcPr>
            <w:tcW w:w="3218" w:type="pct"/>
            <w:vAlign w:val="center"/>
          </w:tcPr>
          <w:p w:rsidR="00E6358D" w:rsidP="00E6358D" w14:paraId="1FD953D6" w14:textId="77777777">
            <w:pPr>
              <w:spacing w:line="540" w:lineRule="exact"/>
              <w:rPr>
                <w:color w:val="000000" w:themeColor="text1"/>
                <w:kern w:val="0"/>
                <w:sz w:val="28"/>
                <w:szCs w:val="28"/>
                <w:shd w:val="clear" w:color="auto" w:fill="FFFFFF"/>
              </w:rPr>
            </w:pPr>
            <w:r>
              <w:rPr>
                <w:color w:val="000000" w:themeColor="text1"/>
                <w:kern w:val="0"/>
                <w:sz w:val="28"/>
                <w:szCs w:val="28"/>
                <w:shd w:val="clear" w:color="auto" w:fill="FFFFFF"/>
              </w:rPr>
              <w:t>技术开发且知识产权归属甲方</w:t>
            </w:r>
            <w:r>
              <w:rPr>
                <w:rFonts w:hint="eastAsia"/>
                <w:color w:val="000000" w:themeColor="text1"/>
                <w:kern w:val="0"/>
                <w:sz w:val="28"/>
                <w:szCs w:val="28"/>
                <w:shd w:val="clear" w:color="auto" w:fill="FFFFFF"/>
              </w:rPr>
              <w:t>（</w:t>
            </w:r>
            <w:r>
              <w:rPr>
                <w:color w:val="000000" w:themeColor="text1"/>
                <w:kern w:val="0"/>
                <w:sz w:val="28"/>
                <w:szCs w:val="28"/>
                <w:shd w:val="clear" w:color="auto" w:fill="FFFFFF"/>
              </w:rPr>
              <w:t>中大为乙方</w:t>
            </w:r>
            <w:r>
              <w:rPr>
                <w:rFonts w:hint="eastAsia"/>
                <w:color w:val="000000" w:themeColor="text1"/>
                <w:kern w:val="0"/>
                <w:sz w:val="28"/>
                <w:szCs w:val="28"/>
                <w:shd w:val="clear" w:color="auto" w:fill="FFFFFF"/>
              </w:rPr>
              <w:t>）</w:t>
            </w:r>
          </w:p>
        </w:tc>
        <w:tc>
          <w:tcPr>
            <w:tcW w:w="1171" w:type="pct"/>
            <w:vAlign w:val="center"/>
          </w:tcPr>
          <w:p w:rsidR="00E6358D" w:rsidP="00E6358D" w14:paraId="6F71FBF4" w14:textId="77777777">
            <w:pPr>
              <w:spacing w:line="540" w:lineRule="exact"/>
              <w:jc w:val="center"/>
              <w:rPr>
                <w:color w:val="000000" w:themeColor="text1"/>
                <w:kern w:val="0"/>
                <w:sz w:val="28"/>
                <w:szCs w:val="28"/>
                <w:shd w:val="clear" w:color="auto" w:fill="FFFFFF"/>
              </w:rPr>
            </w:pPr>
            <w:r>
              <w:rPr>
                <w:color w:val="000000" w:themeColor="text1"/>
                <w:kern w:val="0"/>
                <w:sz w:val="28"/>
                <w:szCs w:val="28"/>
                <w:shd w:val="clear" w:color="auto" w:fill="FFFFFF"/>
              </w:rPr>
              <w:t>10%</w:t>
            </w:r>
          </w:p>
        </w:tc>
      </w:tr>
      <w:tr w14:paraId="1BC96ABE" w14:textId="77777777" w:rsidTr="00E6358D">
        <w:tblPrEx>
          <w:tblW w:w="5380" w:type="pct"/>
          <w:tblInd w:w="0" w:type="dxa"/>
          <w:tblLook w:val="04A0"/>
        </w:tblPrEx>
        <w:tc>
          <w:tcPr>
            <w:tcW w:w="611" w:type="pct"/>
            <w:vAlign w:val="center"/>
          </w:tcPr>
          <w:p w:rsidR="00E6358D" w:rsidP="00E6358D" w14:paraId="3EF07611" w14:textId="77777777">
            <w:pPr>
              <w:spacing w:line="540" w:lineRule="exact"/>
              <w:jc w:val="center"/>
              <w:rPr>
                <w:color w:val="000000" w:themeColor="text1"/>
                <w:kern w:val="0"/>
                <w:sz w:val="28"/>
                <w:szCs w:val="28"/>
                <w:shd w:val="clear" w:color="auto" w:fill="FFFFFF"/>
              </w:rPr>
            </w:pPr>
            <w:r>
              <w:rPr>
                <w:rFonts w:hint="eastAsia"/>
                <w:color w:val="000000" w:themeColor="text1"/>
                <w:kern w:val="0"/>
                <w:sz w:val="28"/>
                <w:szCs w:val="28"/>
                <w:shd w:val="clear" w:color="auto" w:fill="FFFFFF"/>
              </w:rPr>
              <w:t>3</w:t>
            </w:r>
          </w:p>
        </w:tc>
        <w:tc>
          <w:tcPr>
            <w:tcW w:w="3218" w:type="pct"/>
            <w:vAlign w:val="center"/>
          </w:tcPr>
          <w:p w:rsidR="00E6358D" w:rsidP="00E6358D" w14:paraId="29EE516E" w14:textId="77777777">
            <w:pPr>
              <w:spacing w:line="540" w:lineRule="exact"/>
              <w:rPr>
                <w:color w:val="000000" w:themeColor="text1"/>
                <w:kern w:val="0"/>
                <w:sz w:val="28"/>
                <w:szCs w:val="28"/>
                <w:shd w:val="clear" w:color="auto" w:fill="FFFFFF"/>
              </w:rPr>
            </w:pPr>
            <w:r>
              <w:rPr>
                <w:color w:val="000000" w:themeColor="text1"/>
                <w:kern w:val="0"/>
                <w:sz w:val="28"/>
                <w:szCs w:val="28"/>
                <w:shd w:val="clear" w:color="auto" w:fill="FFFFFF"/>
              </w:rPr>
              <w:t>技术咨询、服务等其他类型</w:t>
            </w:r>
          </w:p>
        </w:tc>
        <w:tc>
          <w:tcPr>
            <w:tcW w:w="1171" w:type="pct"/>
            <w:vAlign w:val="center"/>
          </w:tcPr>
          <w:p w:rsidR="00E6358D" w:rsidP="00E6358D" w14:paraId="36B6BEFB" w14:textId="77777777">
            <w:pPr>
              <w:spacing w:line="540" w:lineRule="exact"/>
              <w:jc w:val="center"/>
              <w:rPr>
                <w:color w:val="000000" w:themeColor="text1"/>
                <w:kern w:val="0"/>
                <w:sz w:val="28"/>
                <w:szCs w:val="28"/>
                <w:shd w:val="clear" w:color="auto" w:fill="FFFFFF"/>
              </w:rPr>
            </w:pPr>
            <w:r>
              <w:rPr>
                <w:color w:val="000000" w:themeColor="text1"/>
                <w:kern w:val="0"/>
                <w:sz w:val="28"/>
                <w:szCs w:val="28"/>
                <w:shd w:val="clear" w:color="auto" w:fill="FFFFFF"/>
              </w:rPr>
              <w:t>5%</w:t>
            </w:r>
          </w:p>
        </w:tc>
      </w:tr>
      <w:tr w14:paraId="046ED805" w14:textId="77777777" w:rsidTr="00E6358D">
        <w:tblPrEx>
          <w:tblW w:w="5380" w:type="pct"/>
          <w:tblInd w:w="0" w:type="dxa"/>
          <w:tblLook w:val="04A0"/>
        </w:tblPrEx>
        <w:trPr>
          <w:trHeight w:val="1279"/>
        </w:trPr>
        <w:tc>
          <w:tcPr>
            <w:tcW w:w="611" w:type="pct"/>
            <w:vAlign w:val="center"/>
          </w:tcPr>
          <w:p w:rsidR="00E6358D" w:rsidP="00E6358D" w14:paraId="1910C069" w14:textId="77777777">
            <w:pPr>
              <w:spacing w:line="0" w:lineRule="atLeast"/>
              <w:jc w:val="center"/>
              <w:rPr>
                <w:color w:val="000000" w:themeColor="text1"/>
                <w:kern w:val="0"/>
                <w:sz w:val="28"/>
                <w:szCs w:val="28"/>
                <w:shd w:val="clear" w:color="auto" w:fill="FFFFFF"/>
              </w:rPr>
            </w:pPr>
            <w:r>
              <w:rPr>
                <w:rFonts w:hint="eastAsia"/>
                <w:color w:val="000000" w:themeColor="text1"/>
                <w:kern w:val="0"/>
                <w:sz w:val="28"/>
                <w:szCs w:val="28"/>
                <w:shd w:val="clear" w:color="auto" w:fill="FFFFFF"/>
              </w:rPr>
              <w:t>4</w:t>
            </w:r>
          </w:p>
        </w:tc>
        <w:tc>
          <w:tcPr>
            <w:tcW w:w="3218" w:type="pct"/>
            <w:vAlign w:val="center"/>
          </w:tcPr>
          <w:p w:rsidR="00E6358D" w:rsidP="00E6358D" w14:paraId="32B23744" w14:textId="77777777">
            <w:pPr>
              <w:spacing w:line="0" w:lineRule="atLeast"/>
              <w:rPr>
                <w:color w:val="000000" w:themeColor="text1"/>
                <w:kern w:val="0"/>
                <w:sz w:val="28"/>
                <w:szCs w:val="28"/>
                <w:shd w:val="clear" w:color="auto" w:fill="FFFFFF"/>
              </w:rPr>
            </w:pPr>
            <w:r>
              <w:rPr>
                <w:color w:val="000000" w:themeColor="text1"/>
                <w:kern w:val="0"/>
                <w:sz w:val="28"/>
                <w:szCs w:val="28"/>
                <w:shd w:val="clear" w:color="auto" w:fill="FFFFFF"/>
              </w:rPr>
              <w:t>理工医科单个项目累计到账</w:t>
            </w:r>
            <w:r>
              <w:rPr>
                <w:color w:val="000000" w:themeColor="text1"/>
                <w:kern w:val="0"/>
                <w:sz w:val="28"/>
                <w:szCs w:val="28"/>
                <w:shd w:val="clear" w:color="auto" w:fill="FFFFFF"/>
              </w:rPr>
              <w:t>100</w:t>
            </w:r>
            <w:r>
              <w:rPr>
                <w:color w:val="000000" w:themeColor="text1"/>
                <w:kern w:val="0"/>
                <w:sz w:val="28"/>
                <w:szCs w:val="28"/>
                <w:shd w:val="clear" w:color="auto" w:fill="FFFFFF"/>
              </w:rPr>
              <w:t>万以上</w:t>
            </w:r>
          </w:p>
          <w:p w:rsidR="00E6358D" w:rsidP="00E6358D" w14:paraId="79FEEB3D" w14:textId="77777777">
            <w:pPr>
              <w:spacing w:line="0" w:lineRule="atLeast"/>
              <w:rPr>
                <w:color w:val="000000" w:themeColor="text1"/>
                <w:kern w:val="0"/>
                <w:sz w:val="28"/>
                <w:szCs w:val="28"/>
                <w:shd w:val="clear" w:color="auto" w:fill="FFFFFF"/>
              </w:rPr>
            </w:pPr>
            <w:r>
              <w:rPr>
                <w:color w:val="000000" w:themeColor="text1"/>
                <w:kern w:val="0"/>
                <w:sz w:val="28"/>
                <w:szCs w:val="28"/>
                <w:shd w:val="clear" w:color="auto" w:fill="FFFFFF"/>
              </w:rPr>
              <w:t>（含</w:t>
            </w:r>
            <w:r>
              <w:rPr>
                <w:color w:val="000000" w:themeColor="text1"/>
                <w:kern w:val="0"/>
                <w:sz w:val="28"/>
                <w:szCs w:val="28"/>
                <w:shd w:val="clear" w:color="auto" w:fill="FFFFFF"/>
              </w:rPr>
              <w:t>100</w:t>
            </w:r>
            <w:r>
              <w:rPr>
                <w:color w:val="000000" w:themeColor="text1"/>
                <w:kern w:val="0"/>
                <w:sz w:val="28"/>
                <w:szCs w:val="28"/>
                <w:shd w:val="clear" w:color="auto" w:fill="FFFFFF"/>
              </w:rPr>
              <w:t>万）</w:t>
            </w:r>
          </w:p>
          <w:p w:rsidR="00E6358D" w:rsidP="00E6358D" w14:paraId="43938490" w14:textId="77777777">
            <w:pPr>
              <w:spacing w:line="0" w:lineRule="atLeast"/>
              <w:rPr>
                <w:color w:val="000000" w:themeColor="text1"/>
                <w:kern w:val="0"/>
                <w:sz w:val="28"/>
                <w:szCs w:val="28"/>
                <w:shd w:val="clear" w:color="auto" w:fill="FFFFFF"/>
              </w:rPr>
            </w:pPr>
            <w:r>
              <w:rPr>
                <w:color w:val="000000" w:themeColor="text1"/>
                <w:kern w:val="0"/>
                <w:sz w:val="28"/>
                <w:szCs w:val="28"/>
                <w:shd w:val="clear" w:color="auto" w:fill="FFFFFF"/>
              </w:rPr>
              <w:t>文科单个项目累计到账</w:t>
            </w:r>
            <w:r>
              <w:rPr>
                <w:color w:val="000000" w:themeColor="text1"/>
                <w:kern w:val="0"/>
                <w:sz w:val="28"/>
                <w:szCs w:val="28"/>
                <w:shd w:val="clear" w:color="auto" w:fill="FFFFFF"/>
              </w:rPr>
              <w:t>30</w:t>
            </w:r>
            <w:r>
              <w:rPr>
                <w:color w:val="000000" w:themeColor="text1"/>
                <w:kern w:val="0"/>
                <w:sz w:val="28"/>
                <w:szCs w:val="28"/>
                <w:shd w:val="clear" w:color="auto" w:fill="FFFFFF"/>
              </w:rPr>
              <w:t>万以上（含</w:t>
            </w:r>
            <w:r>
              <w:rPr>
                <w:color w:val="000000" w:themeColor="text1"/>
                <w:kern w:val="0"/>
                <w:sz w:val="28"/>
                <w:szCs w:val="28"/>
                <w:shd w:val="clear" w:color="auto" w:fill="FFFFFF"/>
              </w:rPr>
              <w:t>30</w:t>
            </w:r>
            <w:r>
              <w:rPr>
                <w:color w:val="000000" w:themeColor="text1"/>
                <w:kern w:val="0"/>
                <w:sz w:val="28"/>
                <w:szCs w:val="28"/>
                <w:shd w:val="clear" w:color="auto" w:fill="FFFFFF"/>
              </w:rPr>
              <w:t>万）</w:t>
            </w:r>
          </w:p>
        </w:tc>
        <w:tc>
          <w:tcPr>
            <w:tcW w:w="1171" w:type="pct"/>
            <w:vAlign w:val="center"/>
          </w:tcPr>
          <w:p w:rsidR="00E6358D" w:rsidP="00E6358D" w14:paraId="0D515677" w14:textId="77777777">
            <w:pPr>
              <w:spacing w:line="0" w:lineRule="atLeast"/>
              <w:rPr>
                <w:color w:val="000000" w:themeColor="text1"/>
                <w:kern w:val="0"/>
                <w:sz w:val="28"/>
                <w:szCs w:val="28"/>
                <w:shd w:val="clear" w:color="auto" w:fill="FFFFFF"/>
              </w:rPr>
            </w:pPr>
            <w:r>
              <w:rPr>
                <w:rFonts w:hint="eastAsia"/>
                <w:color w:val="000000" w:themeColor="text1"/>
                <w:kern w:val="0"/>
                <w:sz w:val="28"/>
                <w:szCs w:val="28"/>
                <w:shd w:val="clear" w:color="auto" w:fill="FFFFFF"/>
              </w:rPr>
              <w:t>在对应比例基础上降低</w:t>
            </w:r>
            <w:r>
              <w:rPr>
                <w:color w:val="000000" w:themeColor="text1"/>
                <w:kern w:val="0"/>
                <w:sz w:val="28"/>
                <w:szCs w:val="28"/>
                <w:shd w:val="clear" w:color="auto" w:fill="FFFFFF"/>
              </w:rPr>
              <w:t>1%</w:t>
            </w:r>
          </w:p>
        </w:tc>
      </w:tr>
      <w:tr w14:paraId="74F9B1B4" w14:textId="77777777" w:rsidTr="00E6358D">
        <w:tblPrEx>
          <w:tblW w:w="5380" w:type="pct"/>
          <w:tblInd w:w="0" w:type="dxa"/>
          <w:tblLook w:val="04A0"/>
        </w:tblPrEx>
        <w:trPr>
          <w:trHeight w:val="557"/>
        </w:trPr>
        <w:tc>
          <w:tcPr>
            <w:tcW w:w="611" w:type="pct"/>
            <w:vAlign w:val="center"/>
          </w:tcPr>
          <w:p w:rsidR="00E6358D" w:rsidP="00E6358D" w14:paraId="2B61E18E" w14:textId="77777777">
            <w:pPr>
              <w:spacing w:line="0" w:lineRule="atLeast"/>
              <w:jc w:val="center"/>
              <w:rPr>
                <w:color w:val="000000" w:themeColor="text1"/>
                <w:kern w:val="0"/>
                <w:sz w:val="28"/>
                <w:szCs w:val="28"/>
                <w:shd w:val="clear" w:color="auto" w:fill="FFFFFF"/>
              </w:rPr>
            </w:pPr>
            <w:r>
              <w:rPr>
                <w:rFonts w:hint="eastAsia"/>
                <w:color w:val="000000" w:themeColor="text1"/>
                <w:kern w:val="0"/>
                <w:sz w:val="28"/>
                <w:szCs w:val="28"/>
                <w:shd w:val="clear" w:color="auto" w:fill="FFFFFF"/>
              </w:rPr>
              <w:t>5</w:t>
            </w:r>
          </w:p>
        </w:tc>
        <w:tc>
          <w:tcPr>
            <w:tcW w:w="3218" w:type="pct"/>
            <w:vAlign w:val="center"/>
          </w:tcPr>
          <w:p w:rsidR="00E6358D" w:rsidP="00E6358D" w14:paraId="6516BEBA" w14:textId="77777777">
            <w:pPr>
              <w:spacing w:line="0" w:lineRule="atLeast"/>
              <w:rPr>
                <w:color w:val="000000" w:themeColor="text1"/>
                <w:kern w:val="0"/>
                <w:sz w:val="28"/>
                <w:szCs w:val="28"/>
                <w:shd w:val="clear" w:color="auto" w:fill="FFFFFF"/>
              </w:rPr>
            </w:pPr>
            <w:r>
              <w:rPr>
                <w:color w:val="000000" w:themeColor="text1"/>
                <w:kern w:val="0"/>
                <w:sz w:val="28"/>
                <w:szCs w:val="28"/>
                <w:shd w:val="clear" w:color="auto" w:fill="FFFFFF"/>
              </w:rPr>
              <w:t>与企业共建实验室的项目</w:t>
            </w:r>
          </w:p>
        </w:tc>
        <w:tc>
          <w:tcPr>
            <w:tcW w:w="1171" w:type="pct"/>
            <w:vAlign w:val="center"/>
          </w:tcPr>
          <w:p w:rsidR="00E6358D" w:rsidP="00E6358D" w14:paraId="349FE3FA" w14:textId="77777777">
            <w:pPr>
              <w:spacing w:line="540" w:lineRule="exact"/>
              <w:jc w:val="center"/>
              <w:rPr>
                <w:color w:val="000000" w:themeColor="text1"/>
                <w:kern w:val="0"/>
                <w:sz w:val="28"/>
                <w:szCs w:val="28"/>
                <w:shd w:val="clear" w:color="auto" w:fill="FFFFFF"/>
              </w:rPr>
            </w:pPr>
            <w:r>
              <w:rPr>
                <w:color w:val="000000" w:themeColor="text1"/>
                <w:kern w:val="0"/>
                <w:sz w:val="28"/>
                <w:szCs w:val="28"/>
                <w:shd w:val="clear" w:color="auto" w:fill="FFFFFF"/>
              </w:rPr>
              <w:t>4%</w:t>
            </w:r>
          </w:p>
        </w:tc>
      </w:tr>
    </w:tbl>
    <w:p w:rsidR="00E5558B" w:rsidRPr="00E5558B" w:rsidP="00E5558B" w14:paraId="2477EFE9" w14:textId="3A63D7D6">
      <w:pPr>
        <w:spacing w:before="62" w:beforeLines="20" w:after="62" w:afterLines="20" w:line="540" w:lineRule="exact"/>
        <w:jc w:val="center"/>
        <w:rPr>
          <w:rFonts w:ascii="仿宋_GB2312" w:hAnsi="宋体"/>
          <w:b/>
          <w:color w:val="000000" w:themeColor="text1"/>
          <w:szCs w:val="32"/>
          <w:shd w:val="clear" w:color="auto" w:fill="FFFFFF"/>
        </w:rPr>
      </w:pPr>
      <w:r>
        <w:rPr>
          <w:rFonts w:ascii="仿宋_GB2312" w:hAnsi="宋体" w:hint="eastAsia"/>
          <w:b/>
          <w:color w:val="000000" w:themeColor="text1"/>
          <w:szCs w:val="32"/>
          <w:shd w:val="clear" w:color="auto" w:fill="FFFFFF"/>
        </w:rPr>
        <w:t>表</w:t>
      </w:r>
      <w:r>
        <w:rPr>
          <w:rFonts w:ascii="仿宋_GB2312" w:hAnsi="宋体"/>
          <w:b/>
          <w:color w:val="000000" w:themeColor="text1"/>
          <w:szCs w:val="32"/>
          <w:shd w:val="clear" w:color="auto" w:fill="FFFFFF"/>
        </w:rPr>
        <w:t>1</w:t>
      </w:r>
      <w:r>
        <w:rPr>
          <w:rFonts w:ascii="仿宋_GB2312" w:hAnsi="宋体" w:hint="eastAsia"/>
          <w:b/>
          <w:color w:val="000000" w:themeColor="text1"/>
          <w:szCs w:val="32"/>
          <w:shd w:val="clear" w:color="auto" w:fill="FFFFFF"/>
        </w:rPr>
        <w:t xml:space="preserve"> </w:t>
      </w:r>
      <w:r w:rsidR="00AC6828">
        <w:rPr>
          <w:rFonts w:ascii="仿宋_GB2312" w:hAnsi="宋体" w:hint="eastAsia"/>
          <w:b/>
          <w:color w:val="000000" w:themeColor="text1"/>
          <w:szCs w:val="32"/>
          <w:shd w:val="clear" w:color="auto" w:fill="FFFFFF"/>
        </w:rPr>
        <w:t>民口横向科研项目</w:t>
      </w:r>
      <w:r>
        <w:rPr>
          <w:rFonts w:ascii="仿宋_GB2312" w:hAnsi="宋体" w:hint="eastAsia"/>
          <w:b/>
          <w:color w:val="000000" w:themeColor="text1"/>
          <w:szCs w:val="32"/>
          <w:shd w:val="clear" w:color="auto" w:fill="FFFFFF"/>
        </w:rPr>
        <w:t>学校管理费比例</w:t>
      </w:r>
    </w:p>
    <w:p w:rsidR="00B4153F" w:rsidRPr="002F3EF3" w:rsidP="00B4153F" w14:paraId="2E5B6B31" w14:textId="70AF0FF8">
      <w:pPr>
        <w:spacing w:before="156" w:beforeLines="50" w:line="560" w:lineRule="exact"/>
        <w:ind w:firstLine="646"/>
        <w:jc w:val="both"/>
        <w:rPr>
          <w:rFonts w:cs="Times New Roman"/>
          <w:color w:val="000000" w:themeColor="text1"/>
          <w:szCs w:val="32"/>
        </w:rPr>
      </w:pPr>
      <w:r w:rsidRPr="00630D26">
        <w:rPr>
          <w:rFonts w:cs="Times New Roman" w:hint="eastAsia"/>
          <w:color w:val="000000" w:themeColor="text1"/>
          <w:szCs w:val="32"/>
        </w:rPr>
        <w:t>上述第</w:t>
      </w:r>
      <w:r w:rsidRPr="00630D26">
        <w:rPr>
          <w:rFonts w:cs="Times New Roman"/>
          <w:color w:val="000000" w:themeColor="text1"/>
          <w:szCs w:val="32"/>
        </w:rPr>
        <w:t>1</w:t>
      </w:r>
      <w:r w:rsidRPr="00630D26">
        <w:rPr>
          <w:rFonts w:cs="Times New Roman" w:hint="eastAsia"/>
          <w:color w:val="000000" w:themeColor="text1"/>
          <w:szCs w:val="32"/>
        </w:rPr>
        <w:t>类技术开发且知识产权共享，是指知识产权申请时我校作为权利人之一，且收益共享</w:t>
      </w:r>
      <w:r w:rsidR="00413F51">
        <w:rPr>
          <w:rFonts w:cs="Times New Roman" w:hint="eastAsia"/>
          <w:color w:val="000000" w:themeColor="text1"/>
          <w:szCs w:val="32"/>
        </w:rPr>
        <w:t>（</w:t>
      </w:r>
      <w:r w:rsidR="00817071">
        <w:rPr>
          <w:rFonts w:cs="Times New Roman" w:hint="eastAsia"/>
          <w:color w:val="000000" w:themeColor="text1"/>
          <w:szCs w:val="32"/>
        </w:rPr>
        <w:t>我方占比例为</w:t>
      </w:r>
      <w:r w:rsidR="00817071">
        <w:rPr>
          <w:rFonts w:cs="Times New Roman" w:hint="eastAsia"/>
          <w:color w:val="000000" w:themeColor="text1"/>
          <w:szCs w:val="32"/>
        </w:rPr>
        <w:t>1</w:t>
      </w:r>
      <w:r w:rsidR="00817071">
        <w:rPr>
          <w:rFonts w:cs="Times New Roman"/>
          <w:color w:val="000000" w:themeColor="text1"/>
          <w:szCs w:val="32"/>
        </w:rPr>
        <w:t>/N</w:t>
      </w:r>
      <w:r w:rsidR="00192E49">
        <w:rPr>
          <w:rFonts w:cs="Times New Roman" w:hint="eastAsia"/>
          <w:color w:val="000000" w:themeColor="text1"/>
          <w:szCs w:val="32"/>
        </w:rPr>
        <w:t>及</w:t>
      </w:r>
      <w:r w:rsidR="00817071">
        <w:rPr>
          <w:rFonts w:cs="Times New Roman" w:hint="eastAsia"/>
          <w:color w:val="000000" w:themeColor="text1"/>
          <w:szCs w:val="32"/>
        </w:rPr>
        <w:t>以上，</w:t>
      </w:r>
      <w:r w:rsidR="00817071">
        <w:rPr>
          <w:rFonts w:cs="Times New Roman" w:hint="eastAsia"/>
          <w:color w:val="000000" w:themeColor="text1"/>
          <w:szCs w:val="32"/>
        </w:rPr>
        <w:t>N</w:t>
      </w:r>
      <w:r w:rsidR="00817071">
        <w:rPr>
          <w:rFonts w:cs="Times New Roman" w:hint="eastAsia"/>
          <w:color w:val="000000" w:themeColor="text1"/>
          <w:szCs w:val="32"/>
        </w:rPr>
        <w:t>是指知识产权</w:t>
      </w:r>
      <w:r w:rsidR="003102C4">
        <w:rPr>
          <w:rFonts w:cs="Times New Roman" w:hint="eastAsia"/>
          <w:color w:val="000000" w:themeColor="text1"/>
          <w:szCs w:val="32"/>
        </w:rPr>
        <w:t>权利人</w:t>
      </w:r>
      <w:r w:rsidR="00817071">
        <w:rPr>
          <w:rFonts w:cs="Times New Roman" w:hint="eastAsia"/>
          <w:color w:val="000000" w:themeColor="text1"/>
          <w:szCs w:val="32"/>
        </w:rPr>
        <w:t>数量</w:t>
      </w:r>
      <w:r w:rsidR="00413F51">
        <w:rPr>
          <w:rFonts w:cs="Times New Roman" w:hint="eastAsia"/>
          <w:color w:val="000000" w:themeColor="text1"/>
          <w:szCs w:val="32"/>
        </w:rPr>
        <w:t>）</w:t>
      </w:r>
      <w:r>
        <w:rPr>
          <w:rFonts w:cs="Times New Roman" w:hint="eastAsia"/>
          <w:color w:val="000000" w:themeColor="text1"/>
          <w:szCs w:val="32"/>
        </w:rPr>
        <w:t>，以共同名义申请知识产权但收益归属甲方的，学校管理费按照</w:t>
      </w:r>
      <w:r>
        <w:rPr>
          <w:rFonts w:cs="Times New Roman" w:hint="eastAsia"/>
          <w:color w:val="000000" w:themeColor="text1"/>
          <w:szCs w:val="32"/>
        </w:rPr>
        <w:t>1</w:t>
      </w:r>
      <w:r>
        <w:rPr>
          <w:rFonts w:cs="Times New Roman"/>
          <w:color w:val="000000" w:themeColor="text1"/>
          <w:szCs w:val="32"/>
        </w:rPr>
        <w:t>0%</w:t>
      </w:r>
      <w:r>
        <w:rPr>
          <w:rFonts w:cs="Times New Roman" w:hint="eastAsia"/>
          <w:color w:val="000000" w:themeColor="text1"/>
          <w:szCs w:val="32"/>
        </w:rPr>
        <w:t>比例收取</w:t>
      </w:r>
      <w:r w:rsidR="006D3D40">
        <w:rPr>
          <w:rFonts w:cs="Times New Roman" w:hint="eastAsia"/>
          <w:color w:val="000000" w:themeColor="text1"/>
          <w:szCs w:val="32"/>
        </w:rPr>
        <w:t>。</w:t>
      </w:r>
      <w:r>
        <w:rPr>
          <w:rFonts w:cs="Times New Roman" w:hint="eastAsia"/>
          <w:color w:val="000000" w:themeColor="text1"/>
          <w:szCs w:val="32"/>
        </w:rPr>
        <w:t>例如</w:t>
      </w:r>
      <w:r w:rsidR="0098280B">
        <w:rPr>
          <w:rFonts w:cs="Times New Roman" w:hint="eastAsia"/>
          <w:color w:val="000000" w:themeColor="text1"/>
          <w:szCs w:val="32"/>
        </w:rPr>
        <w:t>，</w:t>
      </w:r>
      <w:r>
        <w:rPr>
          <w:rFonts w:cs="Times New Roman" w:hint="eastAsia"/>
          <w:color w:val="000000" w:themeColor="text1"/>
          <w:szCs w:val="32"/>
        </w:rPr>
        <w:t>合同约定申请专利时甲方与我校均为专利权之一，但后续如有收益全部归属甲方的，则学校管理费按照</w:t>
      </w:r>
      <w:r>
        <w:rPr>
          <w:rFonts w:cs="Times New Roman" w:hint="eastAsia"/>
          <w:color w:val="000000" w:themeColor="text1"/>
          <w:szCs w:val="32"/>
        </w:rPr>
        <w:t>1</w:t>
      </w:r>
      <w:r>
        <w:rPr>
          <w:rFonts w:cs="Times New Roman"/>
          <w:color w:val="000000" w:themeColor="text1"/>
          <w:szCs w:val="32"/>
        </w:rPr>
        <w:t>0%</w:t>
      </w:r>
      <w:r>
        <w:rPr>
          <w:rFonts w:cs="Times New Roman" w:hint="eastAsia"/>
          <w:color w:val="000000" w:themeColor="text1"/>
          <w:szCs w:val="32"/>
        </w:rPr>
        <w:t>的比例收取</w:t>
      </w:r>
      <w:r w:rsidRPr="00630D26">
        <w:rPr>
          <w:rFonts w:cs="Times New Roman" w:hint="eastAsia"/>
          <w:color w:val="000000" w:themeColor="text1"/>
          <w:szCs w:val="32"/>
        </w:rPr>
        <w:t>；</w:t>
      </w:r>
      <w:r w:rsidRPr="00F254E2">
        <w:rPr>
          <w:rFonts w:cs="Times New Roman" w:hint="eastAsia"/>
          <w:b/>
          <w:color w:val="000000" w:themeColor="text1"/>
          <w:szCs w:val="32"/>
        </w:rPr>
        <w:t>符合上述第</w:t>
      </w:r>
      <w:r w:rsidRPr="00F254E2">
        <w:rPr>
          <w:rFonts w:cs="Times New Roman" w:hint="eastAsia"/>
          <w:b/>
          <w:color w:val="000000" w:themeColor="text1"/>
          <w:szCs w:val="32"/>
        </w:rPr>
        <w:t>1</w:t>
      </w:r>
      <w:r w:rsidRPr="00F254E2">
        <w:rPr>
          <w:rFonts w:cs="Times New Roman" w:hint="eastAsia"/>
          <w:b/>
          <w:color w:val="000000" w:themeColor="text1"/>
          <w:szCs w:val="32"/>
        </w:rPr>
        <w:t>类条件的，项目立项前须先</w:t>
      </w:r>
      <w:r w:rsidR="00D238DC">
        <w:rPr>
          <w:rFonts w:cs="Times New Roman" w:hint="eastAsia"/>
          <w:b/>
          <w:color w:val="000000" w:themeColor="text1"/>
          <w:szCs w:val="32"/>
        </w:rPr>
        <w:t>在“</w:t>
      </w:r>
      <w:r w:rsidRPr="00D238DC" w:rsidR="00D238DC">
        <w:rPr>
          <w:rFonts w:cs="Times New Roman" w:hint="eastAsia"/>
          <w:b/>
          <w:color w:val="000000" w:themeColor="text1"/>
          <w:szCs w:val="32"/>
        </w:rPr>
        <w:t>广东省科技业务管理阳光政务平台</w:t>
      </w:r>
      <w:r w:rsidR="00D238DC">
        <w:rPr>
          <w:rFonts w:cs="Times New Roman" w:hint="eastAsia"/>
          <w:b/>
          <w:color w:val="000000" w:themeColor="text1"/>
          <w:szCs w:val="32"/>
        </w:rPr>
        <w:t>”</w:t>
      </w:r>
      <w:r w:rsidRPr="00F254E2">
        <w:rPr>
          <w:rFonts w:cs="Times New Roman" w:hint="eastAsia"/>
          <w:b/>
          <w:color w:val="000000" w:themeColor="text1"/>
          <w:szCs w:val="32"/>
        </w:rPr>
        <w:t>完成技术合同认定</w:t>
      </w:r>
      <w:r w:rsidRPr="00EF13C2" w:rsidR="00D238DC">
        <w:rPr>
          <w:rFonts w:cs="Times New Roman" w:hint="eastAsia"/>
          <w:color w:val="000000" w:themeColor="text1"/>
          <w:szCs w:val="32"/>
        </w:rPr>
        <w:t>（</w:t>
      </w:r>
      <w:r w:rsidRPr="00EF13C2" w:rsidR="00B61073">
        <w:rPr>
          <w:rFonts w:cs="Times New Roman" w:hint="eastAsia"/>
          <w:color w:val="000000" w:themeColor="text1"/>
          <w:szCs w:val="32"/>
        </w:rPr>
        <w:t>具体操作</w:t>
      </w:r>
      <w:r w:rsidRPr="00EF13C2" w:rsidR="00D238DC">
        <w:rPr>
          <w:rFonts w:cs="Times New Roman" w:hint="eastAsia"/>
          <w:color w:val="000000" w:themeColor="text1"/>
          <w:szCs w:val="32"/>
        </w:rPr>
        <w:t>详见科学研究院首页</w:t>
      </w:r>
      <w:r w:rsidRPr="00EF13C2" w:rsidR="00F6402E">
        <w:rPr>
          <w:rFonts w:cs="Times New Roman" w:hint="eastAsia"/>
          <w:color w:val="000000" w:themeColor="text1"/>
          <w:szCs w:val="32"/>
        </w:rPr>
        <w:t>-</w:t>
      </w:r>
      <w:r w:rsidRPr="00EF13C2" w:rsidR="00D238DC">
        <w:rPr>
          <w:rFonts w:cs="Times New Roman" w:hint="eastAsia"/>
          <w:color w:val="000000" w:themeColor="text1"/>
          <w:szCs w:val="32"/>
        </w:rPr>
        <w:t>下载中心</w:t>
      </w:r>
      <w:r w:rsidRPr="00EF13C2" w:rsidR="00F6402E">
        <w:rPr>
          <w:rFonts w:cs="Times New Roman" w:hint="eastAsia"/>
          <w:color w:val="000000" w:themeColor="text1"/>
          <w:szCs w:val="32"/>
        </w:rPr>
        <w:t>-</w:t>
      </w:r>
      <w:r w:rsidRPr="00EF13C2" w:rsidR="00F6402E">
        <w:rPr>
          <w:rFonts w:cs="Times New Roman" w:hint="eastAsia"/>
          <w:color w:val="000000" w:themeColor="text1"/>
          <w:szCs w:val="32"/>
        </w:rPr>
        <w:t>科研项目文件</w:t>
      </w:r>
      <w:r w:rsidRPr="00EF13C2" w:rsidR="00B61073">
        <w:rPr>
          <w:rFonts w:cs="Times New Roman" w:hint="eastAsia"/>
          <w:color w:val="000000" w:themeColor="text1"/>
          <w:szCs w:val="32"/>
        </w:rPr>
        <w:t>-</w:t>
      </w:r>
      <w:r w:rsidRPr="00EF13C2" w:rsidR="00B61073">
        <w:rPr>
          <w:rFonts w:cs="Times New Roman" w:hint="eastAsia"/>
          <w:color w:val="000000" w:themeColor="text1"/>
          <w:szCs w:val="32"/>
        </w:rPr>
        <w:t>技术合同登记认定流程</w:t>
      </w:r>
      <w:r w:rsidRPr="00EF13C2" w:rsidR="00D238DC">
        <w:rPr>
          <w:rFonts w:cs="Times New Roman" w:hint="eastAsia"/>
          <w:color w:val="000000" w:themeColor="text1"/>
          <w:szCs w:val="32"/>
        </w:rPr>
        <w:t>）</w:t>
      </w:r>
      <w:r w:rsidRPr="00EF13C2">
        <w:rPr>
          <w:rFonts w:cs="Times New Roman" w:hint="eastAsia"/>
          <w:color w:val="000000" w:themeColor="text1"/>
          <w:szCs w:val="32"/>
        </w:rPr>
        <w:t>，</w:t>
      </w:r>
      <w:r w:rsidRPr="00F254E2">
        <w:rPr>
          <w:rFonts w:cs="Times New Roman" w:hint="eastAsia"/>
          <w:b/>
          <w:color w:val="000000" w:themeColor="text1"/>
          <w:szCs w:val="32"/>
        </w:rPr>
        <w:t>经认定为技术开发合同的，学校管理费按照</w:t>
      </w:r>
      <w:r w:rsidRPr="00F254E2">
        <w:rPr>
          <w:rFonts w:cs="Times New Roman" w:hint="eastAsia"/>
          <w:b/>
          <w:color w:val="000000" w:themeColor="text1"/>
          <w:szCs w:val="32"/>
        </w:rPr>
        <w:t>2</w:t>
      </w:r>
      <w:r w:rsidRPr="00F254E2">
        <w:rPr>
          <w:rFonts w:cs="Times New Roman"/>
          <w:b/>
          <w:color w:val="000000" w:themeColor="text1"/>
          <w:szCs w:val="32"/>
        </w:rPr>
        <w:t>%</w:t>
      </w:r>
      <w:r w:rsidRPr="00F254E2">
        <w:rPr>
          <w:rFonts w:cs="Times New Roman" w:hint="eastAsia"/>
          <w:b/>
          <w:color w:val="000000" w:themeColor="text1"/>
          <w:szCs w:val="32"/>
        </w:rPr>
        <w:t>收取。</w:t>
      </w:r>
      <w:r w:rsidRPr="00F254E2">
        <w:rPr>
          <w:rFonts w:cs="Times New Roman"/>
          <w:color w:val="000000" w:themeColor="text1"/>
          <w:szCs w:val="32"/>
        </w:rPr>
        <w:br/>
      </w:r>
      <w:r>
        <w:rPr>
          <w:rFonts w:cs="Times New Roman" w:hint="eastAsia"/>
          <w:color w:val="000000" w:themeColor="text1"/>
          <w:szCs w:val="32"/>
        </w:rPr>
        <w:t xml:space="preserve"> </w:t>
      </w:r>
      <w:r>
        <w:rPr>
          <w:rFonts w:cs="Times New Roman"/>
          <w:color w:val="000000" w:themeColor="text1"/>
          <w:szCs w:val="32"/>
        </w:rPr>
        <w:t xml:space="preserve">   </w:t>
      </w:r>
      <w:r>
        <w:rPr>
          <w:rFonts w:cs="Times New Roman" w:hint="eastAsia"/>
          <w:color w:val="000000" w:themeColor="text1"/>
          <w:szCs w:val="32"/>
        </w:rPr>
        <w:t>符合上述第</w:t>
      </w:r>
      <w:r>
        <w:rPr>
          <w:rFonts w:cs="Times New Roman" w:hint="eastAsia"/>
          <w:color w:val="000000" w:themeColor="text1"/>
          <w:szCs w:val="32"/>
        </w:rPr>
        <w:t>4</w:t>
      </w:r>
      <w:r>
        <w:rPr>
          <w:rFonts w:cs="Times New Roman" w:hint="eastAsia"/>
          <w:color w:val="000000" w:themeColor="text1"/>
          <w:szCs w:val="32"/>
        </w:rPr>
        <w:t>类条件的，学校管理费比例可在对应比例基础上降低</w:t>
      </w:r>
      <w:r>
        <w:rPr>
          <w:rFonts w:cs="Times New Roman" w:hint="eastAsia"/>
          <w:color w:val="000000" w:themeColor="text1"/>
          <w:szCs w:val="32"/>
        </w:rPr>
        <w:t>1</w:t>
      </w:r>
      <w:r>
        <w:rPr>
          <w:rFonts w:cs="Times New Roman"/>
          <w:color w:val="000000" w:themeColor="text1"/>
          <w:szCs w:val="32"/>
        </w:rPr>
        <w:t>%</w:t>
      </w:r>
      <w:r>
        <w:rPr>
          <w:rFonts w:cs="Times New Roman" w:hint="eastAsia"/>
          <w:color w:val="000000" w:themeColor="text1"/>
          <w:szCs w:val="32"/>
        </w:rPr>
        <w:t>。例如，某理工科学院某老师承担经费金额在</w:t>
      </w:r>
      <w:r>
        <w:rPr>
          <w:rFonts w:cs="Times New Roman" w:hint="eastAsia"/>
          <w:color w:val="000000" w:themeColor="text1"/>
          <w:szCs w:val="32"/>
        </w:rPr>
        <w:t>1</w:t>
      </w:r>
      <w:r>
        <w:rPr>
          <w:rFonts w:cs="Times New Roman"/>
          <w:color w:val="000000" w:themeColor="text1"/>
          <w:szCs w:val="32"/>
        </w:rPr>
        <w:t>50</w:t>
      </w:r>
      <w:r>
        <w:rPr>
          <w:rFonts w:cs="Times New Roman" w:hint="eastAsia"/>
          <w:color w:val="000000" w:themeColor="text1"/>
          <w:szCs w:val="32"/>
        </w:rPr>
        <w:t>万元的横向科研技术服务类项目，到账</w:t>
      </w:r>
      <w:r>
        <w:rPr>
          <w:rFonts w:cs="Times New Roman" w:hint="eastAsia"/>
          <w:color w:val="000000" w:themeColor="text1"/>
          <w:szCs w:val="32"/>
        </w:rPr>
        <w:t>1</w:t>
      </w:r>
      <w:r>
        <w:rPr>
          <w:rFonts w:cs="Times New Roman"/>
          <w:color w:val="000000" w:themeColor="text1"/>
          <w:szCs w:val="32"/>
        </w:rPr>
        <w:t>00</w:t>
      </w:r>
      <w:r>
        <w:rPr>
          <w:rFonts w:cs="Times New Roman" w:hint="eastAsia"/>
          <w:color w:val="000000" w:themeColor="text1"/>
          <w:szCs w:val="32"/>
        </w:rPr>
        <w:t>万元前，学校管理费按照上述</w:t>
      </w:r>
      <w:r w:rsidR="00406E13">
        <w:rPr>
          <w:rFonts w:cs="Times New Roman" w:hint="eastAsia"/>
          <w:color w:val="000000" w:themeColor="text1"/>
          <w:szCs w:val="32"/>
        </w:rPr>
        <w:t>第</w:t>
      </w:r>
      <w:r w:rsidR="00406E13">
        <w:rPr>
          <w:rFonts w:cs="Times New Roman" w:hint="eastAsia"/>
          <w:color w:val="000000" w:themeColor="text1"/>
          <w:szCs w:val="32"/>
        </w:rPr>
        <w:t>3</w:t>
      </w:r>
      <w:r w:rsidR="00406E13">
        <w:rPr>
          <w:rFonts w:cs="Times New Roman" w:hint="eastAsia"/>
          <w:color w:val="000000" w:themeColor="text1"/>
          <w:szCs w:val="32"/>
        </w:rPr>
        <w:t>类条件的</w:t>
      </w:r>
      <w:r>
        <w:rPr>
          <w:rFonts w:cs="Times New Roman" w:hint="eastAsia"/>
          <w:color w:val="000000" w:themeColor="text1"/>
          <w:szCs w:val="32"/>
        </w:rPr>
        <w:t>5</w:t>
      </w:r>
      <w:r>
        <w:rPr>
          <w:rFonts w:cs="Times New Roman"/>
          <w:color w:val="000000" w:themeColor="text1"/>
          <w:szCs w:val="32"/>
        </w:rPr>
        <w:t>%</w:t>
      </w:r>
      <w:r>
        <w:rPr>
          <w:rFonts w:cs="Times New Roman" w:hint="eastAsia"/>
          <w:color w:val="000000" w:themeColor="text1"/>
          <w:szCs w:val="32"/>
        </w:rPr>
        <w:t>收取，到账</w:t>
      </w:r>
      <w:r>
        <w:rPr>
          <w:rFonts w:cs="Times New Roman" w:hint="eastAsia"/>
          <w:color w:val="000000" w:themeColor="text1"/>
          <w:szCs w:val="32"/>
        </w:rPr>
        <w:t>1</w:t>
      </w:r>
      <w:r>
        <w:rPr>
          <w:rFonts w:cs="Times New Roman"/>
          <w:color w:val="000000" w:themeColor="text1"/>
          <w:szCs w:val="32"/>
        </w:rPr>
        <w:t>00</w:t>
      </w:r>
      <w:r>
        <w:rPr>
          <w:rFonts w:cs="Times New Roman" w:hint="eastAsia"/>
          <w:color w:val="000000" w:themeColor="text1"/>
          <w:szCs w:val="32"/>
        </w:rPr>
        <w:t>万元（含），</w:t>
      </w:r>
      <w:r>
        <w:rPr>
          <w:rFonts w:cs="Times New Roman" w:hint="eastAsia"/>
          <w:color w:val="000000" w:themeColor="text1"/>
          <w:szCs w:val="32"/>
        </w:rPr>
        <w:t>整个项目学校管理费在</w:t>
      </w:r>
      <w:r>
        <w:rPr>
          <w:rFonts w:cs="Times New Roman" w:hint="eastAsia"/>
          <w:color w:val="000000" w:themeColor="text1"/>
          <w:szCs w:val="32"/>
        </w:rPr>
        <w:t>5</w:t>
      </w:r>
      <w:r>
        <w:rPr>
          <w:rFonts w:cs="Times New Roman"/>
          <w:color w:val="000000" w:themeColor="text1"/>
          <w:szCs w:val="32"/>
        </w:rPr>
        <w:t>%</w:t>
      </w:r>
      <w:r>
        <w:rPr>
          <w:rFonts w:cs="Times New Roman" w:hint="eastAsia"/>
          <w:color w:val="000000" w:themeColor="text1"/>
          <w:szCs w:val="32"/>
        </w:rPr>
        <w:t>的基础上降低</w:t>
      </w:r>
      <w:r>
        <w:rPr>
          <w:rFonts w:cs="Times New Roman" w:hint="eastAsia"/>
          <w:color w:val="000000" w:themeColor="text1"/>
          <w:szCs w:val="32"/>
        </w:rPr>
        <w:t>1</w:t>
      </w:r>
      <w:r>
        <w:rPr>
          <w:rFonts w:cs="Times New Roman"/>
          <w:color w:val="000000" w:themeColor="text1"/>
          <w:szCs w:val="32"/>
        </w:rPr>
        <w:t>%</w:t>
      </w:r>
      <w:r>
        <w:rPr>
          <w:rFonts w:cs="Times New Roman" w:hint="eastAsia"/>
          <w:color w:val="000000" w:themeColor="text1"/>
          <w:szCs w:val="32"/>
        </w:rPr>
        <w:t>，即按照</w:t>
      </w:r>
      <w:r>
        <w:rPr>
          <w:rFonts w:cs="Times New Roman" w:hint="eastAsia"/>
          <w:color w:val="000000" w:themeColor="text1"/>
          <w:szCs w:val="32"/>
        </w:rPr>
        <w:t>4</w:t>
      </w:r>
      <w:r>
        <w:rPr>
          <w:rFonts w:cs="Times New Roman"/>
          <w:color w:val="000000" w:themeColor="text1"/>
          <w:szCs w:val="32"/>
        </w:rPr>
        <w:t>%</w:t>
      </w:r>
      <w:r>
        <w:rPr>
          <w:rFonts w:cs="Times New Roman" w:hint="eastAsia"/>
          <w:color w:val="000000" w:themeColor="text1"/>
          <w:szCs w:val="32"/>
        </w:rPr>
        <w:t>来收取，之前多收取的管理费可办理退回。</w:t>
      </w:r>
    </w:p>
    <w:p w:rsidR="004400CD" w:rsidRPr="00BA1898" w:rsidP="004400CD" w14:paraId="39B39626" w14:textId="7AA7B053">
      <w:pPr>
        <w:spacing w:line="580" w:lineRule="atLeast"/>
        <w:ind w:firstLine="640" w:firstLineChars="200"/>
        <w:jc w:val="both"/>
        <w:rPr>
          <w:rFonts w:cs="Times New Roman"/>
          <w:b/>
          <w:szCs w:val="32"/>
        </w:rPr>
      </w:pPr>
      <w:r>
        <w:rPr>
          <w:rFonts w:cs="Times New Roman"/>
          <w:b/>
          <w:szCs w:val="32"/>
        </w:rPr>
        <w:t>3</w:t>
      </w:r>
      <w:r w:rsidRPr="00BA1898">
        <w:rPr>
          <w:rFonts w:cs="Times New Roman"/>
          <w:b/>
          <w:szCs w:val="32"/>
        </w:rPr>
        <w:t xml:space="preserve">. </w:t>
      </w:r>
      <w:r w:rsidRPr="00A52464" w:rsidR="00A52464">
        <w:rPr>
          <w:rFonts w:cs="Times New Roman" w:hint="eastAsia"/>
          <w:b/>
          <w:szCs w:val="32"/>
        </w:rPr>
        <w:t>横向科研项目结余经费</w:t>
      </w:r>
      <w:r w:rsidRPr="00BA1898">
        <w:rPr>
          <w:rFonts w:cs="Times New Roman" w:hint="eastAsia"/>
          <w:b/>
          <w:szCs w:val="32"/>
        </w:rPr>
        <w:t>开支范围是什么？是否有比例限制？可否发绩效？</w:t>
      </w:r>
    </w:p>
    <w:p w:rsidR="004400CD" w:rsidP="004400CD" w14:paraId="3994011A" w14:textId="4B99B939">
      <w:pPr>
        <w:spacing w:line="540" w:lineRule="exact"/>
        <w:ind w:firstLine="640" w:firstLineChars="200"/>
        <w:jc w:val="both"/>
        <w:rPr>
          <w:rFonts w:cs="Times New Roman"/>
          <w:szCs w:val="32"/>
        </w:rPr>
      </w:pPr>
      <w:r>
        <w:rPr>
          <w:rFonts w:cs="Times New Roman" w:hint="eastAsia"/>
          <w:szCs w:val="32"/>
        </w:rPr>
        <w:t>答：横向科研项目结余经费</w:t>
      </w:r>
      <w:r w:rsidR="00910E45">
        <w:rPr>
          <w:rFonts w:cs="Times New Roman" w:hint="eastAsia"/>
          <w:szCs w:val="32"/>
        </w:rPr>
        <w:t>（以下简称结余经费）</w:t>
      </w:r>
      <w:r>
        <w:rPr>
          <w:rFonts w:cs="Times New Roman" w:hint="eastAsia"/>
          <w:szCs w:val="32"/>
        </w:rPr>
        <w:t>用于项目组科学研究续</w:t>
      </w:r>
      <w:r>
        <w:rPr>
          <w:rFonts w:cs="Times New Roman" w:hint="eastAsia"/>
          <w:szCs w:val="32"/>
        </w:rPr>
        <w:t>研</w:t>
      </w:r>
      <w:r>
        <w:rPr>
          <w:rFonts w:cs="Times New Roman" w:hint="eastAsia"/>
          <w:szCs w:val="32"/>
        </w:rPr>
        <w:t>或预研的直接支出，可以发放人员绩效，</w:t>
      </w:r>
      <w:r>
        <w:rPr>
          <w:rFonts w:cs="Times New Roman" w:hint="eastAsia"/>
          <w:szCs w:val="32"/>
        </w:rPr>
        <w:t>无比</w:t>
      </w:r>
      <w:r>
        <w:rPr>
          <w:rFonts w:cs="Times New Roman" w:hint="eastAsia"/>
          <w:szCs w:val="32"/>
        </w:rPr>
        <w:t>例限制。</w:t>
      </w:r>
    </w:p>
    <w:p w:rsidR="004400CD" w:rsidP="00CA2813" w14:paraId="7DFB1F5A" w14:textId="3B6B43DA">
      <w:pPr>
        <w:spacing w:line="540" w:lineRule="exact"/>
        <w:ind w:firstLine="640" w:firstLineChars="200"/>
        <w:jc w:val="both"/>
        <w:rPr>
          <w:rFonts w:ascii="Time" w:hAnsi="Time" w:hint="eastAsia"/>
          <w:color w:val="000000" w:themeColor="text1"/>
          <w:szCs w:val="44"/>
          <w:shd w:val="clear" w:color="auto" w:fill="FFFFFF"/>
        </w:rPr>
      </w:pPr>
      <w:r>
        <w:rPr>
          <w:rFonts w:ascii="Time" w:hAnsi="Time" w:hint="eastAsia"/>
          <w:color w:val="000000" w:themeColor="text1"/>
          <w:szCs w:val="44"/>
          <w:shd w:val="clear" w:color="auto" w:fill="FFFFFF"/>
        </w:rPr>
        <w:t>对</w:t>
      </w:r>
      <w:r>
        <w:rPr>
          <w:rFonts w:ascii="Time" w:hAnsi="Time"/>
          <w:color w:val="000000" w:themeColor="text1"/>
          <w:szCs w:val="44"/>
          <w:shd w:val="clear" w:color="auto" w:fill="FFFFFF"/>
        </w:rPr>
        <w:t>在职科研人员</w:t>
      </w:r>
      <w:r>
        <w:rPr>
          <w:rFonts w:ascii="Time" w:hAnsi="Time" w:hint="eastAsia"/>
          <w:color w:val="000000" w:themeColor="text1"/>
          <w:szCs w:val="44"/>
          <w:shd w:val="clear" w:color="auto" w:fill="FFFFFF"/>
        </w:rPr>
        <w:t>、</w:t>
      </w:r>
      <w:r>
        <w:rPr>
          <w:rFonts w:ascii="Time" w:hAnsi="Time"/>
          <w:color w:val="000000" w:themeColor="text1"/>
          <w:szCs w:val="44"/>
          <w:shd w:val="clear" w:color="auto" w:fill="FFFFFF"/>
        </w:rPr>
        <w:t>离退休</w:t>
      </w:r>
      <w:r>
        <w:rPr>
          <w:rFonts w:ascii="Time" w:hAnsi="Time" w:hint="eastAsia"/>
          <w:color w:val="000000" w:themeColor="text1"/>
          <w:szCs w:val="44"/>
          <w:shd w:val="clear" w:color="auto" w:fill="FFFFFF"/>
        </w:rPr>
        <w:t>科研</w:t>
      </w:r>
      <w:r>
        <w:rPr>
          <w:rFonts w:ascii="Time" w:hAnsi="Time"/>
          <w:color w:val="000000" w:themeColor="text1"/>
          <w:szCs w:val="44"/>
          <w:shd w:val="clear" w:color="auto" w:fill="FFFFFF"/>
        </w:rPr>
        <w:t>人员的结余经费</w:t>
      </w:r>
      <w:r>
        <w:rPr>
          <w:rFonts w:ascii="Time" w:hAnsi="Time" w:hint="eastAsia"/>
          <w:color w:val="000000" w:themeColor="text1"/>
          <w:szCs w:val="44"/>
          <w:shd w:val="clear" w:color="auto" w:fill="FFFFFF"/>
        </w:rPr>
        <w:t>，新增加了可以发绩效模式。具体</w:t>
      </w:r>
      <w:r>
        <w:rPr>
          <w:rFonts w:ascii="Time" w:hAnsi="Time"/>
          <w:color w:val="000000" w:themeColor="text1"/>
          <w:szCs w:val="44"/>
          <w:shd w:val="clear" w:color="auto" w:fill="FFFFFF"/>
        </w:rPr>
        <w:t>方案如下：</w:t>
      </w:r>
    </w:p>
    <w:p w:rsidR="004400CD" w:rsidP="004400CD" w14:paraId="25EEC8E4" w14:textId="3E5736CB">
      <w:pPr>
        <w:spacing w:after="62" w:afterLines="20" w:line="540" w:lineRule="exact"/>
        <w:jc w:val="center"/>
        <w:rPr>
          <w:rFonts w:ascii="仿宋_GB2312" w:hAnsi="宋体"/>
          <w:b/>
          <w:color w:val="000000" w:themeColor="text1"/>
          <w:szCs w:val="32"/>
          <w:shd w:val="clear" w:color="auto" w:fill="FFFFFF"/>
        </w:rPr>
      </w:pPr>
      <w:r>
        <w:rPr>
          <w:rFonts w:ascii="仿宋_GB2312" w:hAnsi="宋体" w:hint="eastAsia"/>
          <w:b/>
          <w:color w:val="000000" w:themeColor="text1"/>
          <w:szCs w:val="32"/>
          <w:shd w:val="clear" w:color="auto" w:fill="FFFFFF"/>
        </w:rPr>
        <w:t>表</w:t>
      </w:r>
      <w:r w:rsidR="00B61B87">
        <w:rPr>
          <w:rFonts w:ascii="仿宋_GB2312" w:hAnsi="宋体"/>
          <w:b/>
          <w:color w:val="000000" w:themeColor="text1"/>
          <w:szCs w:val="32"/>
          <w:shd w:val="clear" w:color="auto" w:fill="FFFFFF"/>
        </w:rPr>
        <w:t>2</w:t>
      </w:r>
      <w:r>
        <w:rPr>
          <w:rFonts w:ascii="仿宋_GB2312" w:hAnsi="宋体"/>
          <w:b/>
          <w:color w:val="000000" w:themeColor="text1"/>
          <w:szCs w:val="32"/>
          <w:shd w:val="clear" w:color="auto" w:fill="FFFFFF"/>
        </w:rPr>
        <w:t xml:space="preserve"> </w:t>
      </w:r>
      <w:r>
        <w:rPr>
          <w:rFonts w:ascii="仿宋_GB2312" w:hAnsi="宋体" w:hint="eastAsia"/>
          <w:b/>
          <w:color w:val="000000" w:themeColor="text1"/>
          <w:szCs w:val="32"/>
          <w:shd w:val="clear" w:color="auto" w:fill="FFFFFF"/>
        </w:rPr>
        <w:t>结余经费分配方案表</w:t>
      </w:r>
    </w:p>
    <w:tbl>
      <w:tblPr>
        <w:tblStyle w:val="TableGrid"/>
        <w:tblW w:w="0" w:type="auto"/>
        <w:tblInd w:w="0" w:type="dxa"/>
        <w:tblLook w:val="04A0"/>
      </w:tblPr>
      <w:tblGrid>
        <w:gridCol w:w="1813"/>
        <w:gridCol w:w="6483"/>
      </w:tblGrid>
      <w:tr w14:paraId="0660AD52" w14:textId="77777777" w:rsidTr="00484099">
        <w:tblPrEx>
          <w:tblW w:w="0" w:type="auto"/>
          <w:tblInd w:w="0" w:type="dxa"/>
          <w:tblLook w:val="04A0"/>
        </w:tblPrEx>
        <w:trPr>
          <w:trHeight w:val="403"/>
        </w:trPr>
        <w:tc>
          <w:tcPr>
            <w:tcW w:w="1911" w:type="dxa"/>
          </w:tcPr>
          <w:p w:rsidR="004400CD" w:rsidP="00484099" w14:paraId="549D9CC8" w14:textId="77777777">
            <w:pPr>
              <w:spacing w:line="240" w:lineRule="atLeast"/>
              <w:jc w:val="center"/>
              <w:rPr>
                <w:b/>
                <w:bCs/>
                <w:color w:val="000000" w:themeColor="text1"/>
                <w:kern w:val="0"/>
                <w:sz w:val="28"/>
                <w:szCs w:val="28"/>
                <w:shd w:val="clear" w:color="auto" w:fill="FFFFFF"/>
              </w:rPr>
            </w:pPr>
            <w:r>
              <w:rPr>
                <w:rFonts w:hint="eastAsia"/>
                <w:b/>
                <w:bCs/>
                <w:color w:val="000000" w:themeColor="text1"/>
                <w:kern w:val="0"/>
                <w:sz w:val="28"/>
                <w:szCs w:val="28"/>
                <w:shd w:val="clear" w:color="auto" w:fill="FFFFFF"/>
              </w:rPr>
              <w:t>类型</w:t>
            </w:r>
          </w:p>
        </w:tc>
        <w:tc>
          <w:tcPr>
            <w:tcW w:w="6809" w:type="dxa"/>
          </w:tcPr>
          <w:p w:rsidR="004400CD" w:rsidP="00484099" w14:paraId="3D948936" w14:textId="77777777">
            <w:pPr>
              <w:spacing w:line="240" w:lineRule="atLeast"/>
              <w:jc w:val="center"/>
              <w:rPr>
                <w:b/>
                <w:bCs/>
                <w:color w:val="000000" w:themeColor="text1"/>
                <w:kern w:val="0"/>
                <w:sz w:val="28"/>
                <w:szCs w:val="28"/>
                <w:shd w:val="clear" w:color="auto" w:fill="FFFFFF"/>
              </w:rPr>
            </w:pPr>
            <w:r>
              <w:rPr>
                <w:rFonts w:hint="eastAsia"/>
                <w:b/>
                <w:bCs/>
                <w:color w:val="000000" w:themeColor="text1"/>
                <w:kern w:val="0"/>
                <w:sz w:val="28"/>
                <w:szCs w:val="28"/>
                <w:shd w:val="clear" w:color="auto" w:fill="FFFFFF"/>
              </w:rPr>
              <w:t>分配模式</w:t>
            </w:r>
          </w:p>
        </w:tc>
      </w:tr>
      <w:tr w14:paraId="02ACE8BD" w14:textId="77777777" w:rsidTr="00484099">
        <w:tblPrEx>
          <w:tblW w:w="0" w:type="auto"/>
          <w:tblInd w:w="0" w:type="dxa"/>
          <w:tblLook w:val="04A0"/>
        </w:tblPrEx>
        <w:trPr>
          <w:trHeight w:val="1479"/>
        </w:trPr>
        <w:tc>
          <w:tcPr>
            <w:tcW w:w="1911" w:type="dxa"/>
            <w:vMerge w:val="restart"/>
            <w:vAlign w:val="center"/>
          </w:tcPr>
          <w:p w:rsidR="004400CD" w:rsidP="00484099" w14:paraId="45E5C7F4" w14:textId="77777777">
            <w:pPr>
              <w:spacing w:line="0" w:lineRule="atLeast"/>
              <w:jc w:val="center"/>
              <w:rPr>
                <w:color w:val="000000" w:themeColor="text1"/>
                <w:kern w:val="0"/>
                <w:sz w:val="28"/>
                <w:szCs w:val="28"/>
                <w:shd w:val="clear" w:color="auto" w:fill="FFFFFF"/>
              </w:rPr>
            </w:pPr>
            <w:r>
              <w:rPr>
                <w:rFonts w:hint="eastAsia"/>
                <w:color w:val="000000" w:themeColor="text1"/>
                <w:kern w:val="0"/>
                <w:sz w:val="28"/>
                <w:szCs w:val="28"/>
                <w:shd w:val="clear" w:color="auto" w:fill="FFFFFF"/>
              </w:rPr>
              <w:t>尚未</w:t>
            </w:r>
            <w:r>
              <w:rPr>
                <w:color w:val="000000" w:themeColor="text1"/>
                <w:kern w:val="0"/>
                <w:sz w:val="28"/>
                <w:szCs w:val="28"/>
                <w:shd w:val="clear" w:color="auto" w:fill="FFFFFF"/>
              </w:rPr>
              <w:t>结转的</w:t>
            </w:r>
          </w:p>
          <w:p w:rsidR="004400CD" w:rsidP="00484099" w14:paraId="1B34B914" w14:textId="77777777">
            <w:pPr>
              <w:spacing w:line="0" w:lineRule="atLeast"/>
              <w:jc w:val="center"/>
              <w:rPr>
                <w:color w:val="000000" w:themeColor="text1"/>
                <w:kern w:val="0"/>
                <w:sz w:val="28"/>
                <w:szCs w:val="28"/>
                <w:shd w:val="clear" w:color="auto" w:fill="FFFFFF"/>
              </w:rPr>
            </w:pPr>
            <w:r>
              <w:rPr>
                <w:rFonts w:hint="eastAsia"/>
                <w:color w:val="000000" w:themeColor="text1"/>
                <w:kern w:val="0"/>
                <w:sz w:val="28"/>
                <w:szCs w:val="28"/>
                <w:shd w:val="clear" w:color="auto" w:fill="FFFFFF"/>
              </w:rPr>
              <w:t>结余经费</w:t>
            </w:r>
          </w:p>
        </w:tc>
        <w:tc>
          <w:tcPr>
            <w:tcW w:w="6809" w:type="dxa"/>
            <w:vAlign w:val="center"/>
          </w:tcPr>
          <w:p w:rsidR="004400CD" w:rsidP="00484099" w14:paraId="50ACFB26" w14:textId="77777777">
            <w:pPr>
              <w:spacing w:line="440" w:lineRule="exact"/>
              <w:rPr>
                <w:b/>
                <w:bCs/>
                <w:color w:val="000000" w:themeColor="text1"/>
                <w:kern w:val="0"/>
                <w:sz w:val="28"/>
                <w:szCs w:val="28"/>
                <w:shd w:val="clear" w:color="auto" w:fill="FFFFFF"/>
              </w:rPr>
            </w:pPr>
            <w:r>
              <w:rPr>
                <w:rFonts w:hint="eastAsia"/>
                <w:b/>
                <w:bCs/>
                <w:color w:val="000000" w:themeColor="text1"/>
                <w:kern w:val="0"/>
                <w:sz w:val="28"/>
                <w:szCs w:val="28"/>
                <w:shd w:val="clear" w:color="auto" w:fill="FFFFFF"/>
              </w:rPr>
              <w:t>模式</w:t>
            </w:r>
            <w:r>
              <w:rPr>
                <w:rFonts w:hint="eastAsia"/>
                <w:b/>
                <w:bCs/>
                <w:color w:val="000000" w:themeColor="text1"/>
                <w:kern w:val="0"/>
                <w:sz w:val="28"/>
                <w:szCs w:val="28"/>
                <w:shd w:val="clear" w:color="auto" w:fill="FFFFFF"/>
              </w:rPr>
              <w:t>一</w:t>
            </w:r>
            <w:r>
              <w:rPr>
                <w:b/>
                <w:bCs/>
                <w:color w:val="000000" w:themeColor="text1"/>
                <w:kern w:val="0"/>
                <w:sz w:val="28"/>
                <w:szCs w:val="28"/>
                <w:shd w:val="clear" w:color="auto" w:fill="FFFFFF"/>
              </w:rPr>
              <w:t>：</w:t>
            </w:r>
            <w:r>
              <w:rPr>
                <w:rFonts w:hint="eastAsia"/>
                <w:b/>
                <w:bCs/>
                <w:color w:val="000000" w:themeColor="text1"/>
                <w:kern w:val="0"/>
                <w:sz w:val="28"/>
                <w:szCs w:val="28"/>
                <w:shd w:val="clear" w:color="auto" w:fill="FFFFFF"/>
              </w:rPr>
              <w:t>无预算</w:t>
            </w:r>
            <w:r>
              <w:rPr>
                <w:b/>
                <w:bCs/>
                <w:color w:val="000000" w:themeColor="text1"/>
                <w:kern w:val="0"/>
                <w:sz w:val="28"/>
                <w:szCs w:val="28"/>
                <w:shd w:val="clear" w:color="auto" w:fill="FFFFFF"/>
              </w:rPr>
              <w:t>限制，不</w:t>
            </w:r>
            <w:r>
              <w:rPr>
                <w:rFonts w:hint="eastAsia"/>
                <w:b/>
                <w:bCs/>
                <w:color w:val="000000" w:themeColor="text1"/>
                <w:kern w:val="0"/>
                <w:sz w:val="28"/>
                <w:szCs w:val="28"/>
                <w:shd w:val="clear" w:color="auto" w:fill="FFFFFF"/>
              </w:rPr>
              <w:t>可</w:t>
            </w:r>
            <w:r>
              <w:rPr>
                <w:b/>
                <w:bCs/>
                <w:color w:val="000000" w:themeColor="text1"/>
                <w:kern w:val="0"/>
                <w:sz w:val="28"/>
                <w:szCs w:val="28"/>
                <w:shd w:val="clear" w:color="auto" w:fill="FFFFFF"/>
              </w:rPr>
              <w:t>发放绩效（</w:t>
            </w:r>
            <w:r>
              <w:rPr>
                <w:rFonts w:hint="eastAsia"/>
                <w:b/>
                <w:bCs/>
                <w:color w:val="000000" w:themeColor="text1"/>
                <w:kern w:val="0"/>
                <w:sz w:val="28"/>
                <w:szCs w:val="28"/>
                <w:shd w:val="clear" w:color="auto" w:fill="FFFFFF"/>
              </w:rPr>
              <w:t>原有</w:t>
            </w:r>
            <w:r>
              <w:rPr>
                <w:b/>
                <w:bCs/>
                <w:color w:val="000000" w:themeColor="text1"/>
                <w:kern w:val="0"/>
                <w:sz w:val="28"/>
                <w:szCs w:val="28"/>
                <w:shd w:val="clear" w:color="auto" w:fill="FFFFFF"/>
              </w:rPr>
              <w:t>模式）</w:t>
            </w:r>
          </w:p>
          <w:p w:rsidR="004400CD" w:rsidP="00484099" w14:paraId="172BB434" w14:textId="77777777">
            <w:pPr>
              <w:spacing w:line="440" w:lineRule="exact"/>
              <w:rPr>
                <w:color w:val="000000" w:themeColor="text1"/>
                <w:kern w:val="0"/>
                <w:sz w:val="28"/>
                <w:szCs w:val="28"/>
                <w:shd w:val="clear" w:color="auto" w:fill="FFFFFF"/>
              </w:rPr>
            </w:pPr>
            <w:r>
              <w:rPr>
                <w:color w:val="000000" w:themeColor="text1"/>
                <w:kern w:val="0"/>
                <w:sz w:val="28"/>
                <w:szCs w:val="28"/>
                <w:shd w:val="clear" w:color="auto" w:fill="FFFFFF"/>
              </w:rPr>
              <w:t>全额转入项目负责人横向续</w:t>
            </w:r>
            <w:r>
              <w:rPr>
                <w:color w:val="000000" w:themeColor="text1"/>
                <w:kern w:val="0"/>
                <w:sz w:val="28"/>
                <w:szCs w:val="28"/>
                <w:shd w:val="clear" w:color="auto" w:fill="FFFFFF"/>
              </w:rPr>
              <w:t>研</w:t>
            </w:r>
            <w:r>
              <w:rPr>
                <w:color w:val="000000" w:themeColor="text1"/>
                <w:kern w:val="0"/>
                <w:sz w:val="28"/>
                <w:szCs w:val="28"/>
                <w:shd w:val="clear" w:color="auto" w:fill="FFFFFF"/>
              </w:rPr>
              <w:t>预研经费（</w:t>
            </w:r>
            <w:r>
              <w:rPr>
                <w:color w:val="000000" w:themeColor="text1"/>
                <w:kern w:val="0"/>
                <w:sz w:val="28"/>
                <w:szCs w:val="28"/>
                <w:shd w:val="clear" w:color="auto" w:fill="FFFFFF"/>
              </w:rPr>
              <w:t>1409</w:t>
            </w:r>
            <w:r>
              <w:rPr>
                <w:color w:val="000000" w:themeColor="text1"/>
                <w:kern w:val="0"/>
                <w:sz w:val="28"/>
                <w:szCs w:val="28"/>
                <w:shd w:val="clear" w:color="auto" w:fill="FFFFFF"/>
              </w:rPr>
              <w:t>），不</w:t>
            </w:r>
            <w:r>
              <w:rPr>
                <w:rFonts w:hint="eastAsia"/>
                <w:color w:val="000000" w:themeColor="text1"/>
                <w:kern w:val="0"/>
                <w:sz w:val="28"/>
                <w:szCs w:val="28"/>
                <w:shd w:val="clear" w:color="auto" w:fill="FFFFFF"/>
              </w:rPr>
              <w:t>可发放</w:t>
            </w:r>
            <w:r>
              <w:rPr>
                <w:color w:val="000000" w:themeColor="text1"/>
                <w:kern w:val="0"/>
                <w:sz w:val="28"/>
                <w:szCs w:val="28"/>
                <w:shd w:val="clear" w:color="auto" w:fill="FFFFFF"/>
              </w:rPr>
              <w:t>绩效</w:t>
            </w:r>
            <w:r>
              <w:rPr>
                <w:rFonts w:hint="eastAsia"/>
                <w:color w:val="000000" w:themeColor="text1"/>
                <w:kern w:val="0"/>
                <w:sz w:val="28"/>
                <w:szCs w:val="28"/>
                <w:shd w:val="clear" w:color="auto" w:fill="FFFFFF"/>
              </w:rPr>
              <w:t>。</w:t>
            </w:r>
          </w:p>
        </w:tc>
      </w:tr>
      <w:tr w14:paraId="6026EA1A" w14:textId="77777777" w:rsidTr="00484099">
        <w:tblPrEx>
          <w:tblW w:w="0" w:type="auto"/>
          <w:tblInd w:w="0" w:type="dxa"/>
          <w:tblLook w:val="04A0"/>
        </w:tblPrEx>
        <w:trPr>
          <w:trHeight w:val="1994"/>
        </w:trPr>
        <w:tc>
          <w:tcPr>
            <w:tcW w:w="1911" w:type="dxa"/>
            <w:vMerge/>
          </w:tcPr>
          <w:p w:rsidR="004400CD" w:rsidP="00484099" w14:paraId="3E6956D4" w14:textId="77777777">
            <w:pPr>
              <w:spacing w:line="240" w:lineRule="atLeast"/>
              <w:rPr>
                <w:color w:val="000000" w:themeColor="text1"/>
                <w:kern w:val="0"/>
                <w:sz w:val="28"/>
                <w:szCs w:val="28"/>
                <w:shd w:val="clear" w:color="auto" w:fill="FFFFFF"/>
              </w:rPr>
            </w:pPr>
          </w:p>
        </w:tc>
        <w:tc>
          <w:tcPr>
            <w:tcW w:w="6809" w:type="dxa"/>
            <w:vAlign w:val="center"/>
          </w:tcPr>
          <w:p w:rsidR="004400CD" w:rsidP="00484099" w14:paraId="6A34D763" w14:textId="77777777">
            <w:pPr>
              <w:spacing w:line="440" w:lineRule="exact"/>
              <w:rPr>
                <w:b/>
                <w:bCs/>
                <w:color w:val="000000" w:themeColor="text1"/>
                <w:kern w:val="0"/>
                <w:sz w:val="28"/>
                <w:szCs w:val="28"/>
                <w:shd w:val="clear" w:color="auto" w:fill="FFFFFF"/>
              </w:rPr>
            </w:pPr>
            <w:r>
              <w:rPr>
                <w:rFonts w:hint="eastAsia"/>
                <w:b/>
                <w:bCs/>
                <w:color w:val="000000" w:themeColor="text1"/>
                <w:kern w:val="0"/>
                <w:sz w:val="28"/>
                <w:szCs w:val="28"/>
                <w:shd w:val="clear" w:color="auto" w:fill="FFFFFF"/>
              </w:rPr>
              <w:t>模式二</w:t>
            </w:r>
            <w:r>
              <w:rPr>
                <w:b/>
                <w:bCs/>
                <w:color w:val="000000" w:themeColor="text1"/>
                <w:kern w:val="0"/>
                <w:sz w:val="28"/>
                <w:szCs w:val="28"/>
                <w:shd w:val="clear" w:color="auto" w:fill="FFFFFF"/>
              </w:rPr>
              <w:t>：</w:t>
            </w:r>
            <w:r>
              <w:rPr>
                <w:rFonts w:hint="eastAsia"/>
                <w:b/>
                <w:bCs/>
                <w:color w:val="000000" w:themeColor="text1"/>
                <w:kern w:val="0"/>
                <w:sz w:val="28"/>
                <w:szCs w:val="28"/>
                <w:shd w:val="clear" w:color="auto" w:fill="FFFFFF"/>
              </w:rPr>
              <w:t>无预算</w:t>
            </w:r>
            <w:r>
              <w:rPr>
                <w:b/>
                <w:bCs/>
                <w:color w:val="000000" w:themeColor="text1"/>
                <w:kern w:val="0"/>
                <w:sz w:val="28"/>
                <w:szCs w:val="28"/>
                <w:shd w:val="clear" w:color="auto" w:fill="FFFFFF"/>
              </w:rPr>
              <w:t>限制，</w:t>
            </w:r>
            <w:r>
              <w:rPr>
                <w:rFonts w:hint="eastAsia"/>
                <w:b/>
                <w:bCs/>
                <w:color w:val="000000" w:themeColor="text1"/>
                <w:kern w:val="0"/>
                <w:sz w:val="28"/>
                <w:szCs w:val="28"/>
                <w:shd w:val="clear" w:color="auto" w:fill="FFFFFF"/>
              </w:rPr>
              <w:t>可以</w:t>
            </w:r>
            <w:r>
              <w:rPr>
                <w:b/>
                <w:bCs/>
                <w:color w:val="000000" w:themeColor="text1"/>
                <w:kern w:val="0"/>
                <w:sz w:val="28"/>
                <w:szCs w:val="28"/>
                <w:shd w:val="clear" w:color="auto" w:fill="FFFFFF"/>
              </w:rPr>
              <w:t>发放绩效（</w:t>
            </w:r>
            <w:r>
              <w:rPr>
                <w:rFonts w:hint="eastAsia"/>
                <w:b/>
                <w:bCs/>
                <w:color w:val="000000" w:themeColor="text1"/>
                <w:kern w:val="0"/>
                <w:sz w:val="28"/>
                <w:szCs w:val="28"/>
                <w:shd w:val="clear" w:color="auto" w:fill="FFFFFF"/>
              </w:rPr>
              <w:t>新增</w:t>
            </w:r>
            <w:r>
              <w:rPr>
                <w:b/>
                <w:bCs/>
                <w:color w:val="000000" w:themeColor="text1"/>
                <w:kern w:val="0"/>
                <w:sz w:val="28"/>
                <w:szCs w:val="28"/>
                <w:shd w:val="clear" w:color="auto" w:fill="FFFFFF"/>
              </w:rPr>
              <w:t>模式）</w:t>
            </w:r>
          </w:p>
          <w:p w:rsidR="004400CD" w:rsidP="00B908DB" w14:paraId="0837CFAE" w14:textId="77777777">
            <w:pPr>
              <w:spacing w:line="440" w:lineRule="exact"/>
              <w:jc w:val="both"/>
              <w:rPr>
                <w:color w:val="000000" w:themeColor="text1"/>
                <w:kern w:val="0"/>
                <w:sz w:val="28"/>
                <w:szCs w:val="28"/>
                <w:shd w:val="clear" w:color="auto" w:fill="FFFFFF"/>
              </w:rPr>
            </w:pPr>
            <w:r>
              <w:rPr>
                <w:color w:val="000000" w:themeColor="text1"/>
                <w:kern w:val="0"/>
                <w:sz w:val="28"/>
                <w:szCs w:val="28"/>
                <w:shd w:val="clear" w:color="auto" w:fill="FFFFFF"/>
              </w:rPr>
              <w:t>上缴</w:t>
            </w:r>
            <w:r>
              <w:rPr>
                <w:color w:val="000000" w:themeColor="text1"/>
                <w:kern w:val="0"/>
                <w:sz w:val="28"/>
                <w:szCs w:val="28"/>
                <w:shd w:val="clear" w:color="auto" w:fill="FFFFFF"/>
              </w:rPr>
              <w:t>20%</w:t>
            </w:r>
            <w:r>
              <w:rPr>
                <w:color w:val="000000" w:themeColor="text1"/>
                <w:kern w:val="0"/>
                <w:sz w:val="28"/>
                <w:szCs w:val="28"/>
                <w:shd w:val="clear" w:color="auto" w:fill="FFFFFF"/>
              </w:rPr>
              <w:t>学校，</w:t>
            </w:r>
            <w:r>
              <w:rPr>
                <w:color w:val="000000" w:themeColor="text1"/>
                <w:kern w:val="0"/>
                <w:sz w:val="28"/>
                <w:szCs w:val="28"/>
                <w:shd w:val="clear" w:color="auto" w:fill="FFFFFF"/>
              </w:rPr>
              <w:t>10%</w:t>
            </w:r>
            <w:r>
              <w:rPr>
                <w:color w:val="000000" w:themeColor="text1"/>
                <w:kern w:val="0"/>
                <w:sz w:val="28"/>
                <w:szCs w:val="28"/>
                <w:shd w:val="clear" w:color="auto" w:fill="FFFFFF"/>
              </w:rPr>
              <w:t>二级单位后，剩余经费转入横向绩效经费</w:t>
            </w:r>
            <w:r>
              <w:rPr>
                <w:rFonts w:hint="eastAsia"/>
                <w:color w:val="000000" w:themeColor="text1"/>
                <w:kern w:val="0"/>
                <w:sz w:val="28"/>
                <w:szCs w:val="28"/>
                <w:shd w:val="clear" w:color="auto" w:fill="FFFFFF"/>
              </w:rPr>
              <w:t>（</w:t>
            </w:r>
            <w:r>
              <w:rPr>
                <w:rFonts w:hint="eastAsia"/>
                <w:color w:val="000000" w:themeColor="text1"/>
                <w:kern w:val="0"/>
                <w:sz w:val="28"/>
                <w:szCs w:val="28"/>
                <w:shd w:val="clear" w:color="auto" w:fill="FFFFFF"/>
              </w:rPr>
              <w:t>1</w:t>
            </w:r>
            <w:r>
              <w:rPr>
                <w:color w:val="000000" w:themeColor="text1"/>
                <w:kern w:val="0"/>
                <w:sz w:val="28"/>
                <w:szCs w:val="28"/>
                <w:shd w:val="clear" w:color="auto" w:fill="FFFFFF"/>
              </w:rPr>
              <w:t>410</w:t>
            </w:r>
            <w:r>
              <w:rPr>
                <w:rFonts w:hint="eastAsia"/>
                <w:color w:val="000000" w:themeColor="text1"/>
                <w:kern w:val="0"/>
                <w:sz w:val="28"/>
                <w:szCs w:val="28"/>
                <w:shd w:val="clear" w:color="auto" w:fill="FFFFFF"/>
              </w:rPr>
              <w:t>新</w:t>
            </w:r>
            <w:r>
              <w:rPr>
                <w:color w:val="000000" w:themeColor="text1"/>
                <w:kern w:val="0"/>
                <w:sz w:val="28"/>
                <w:szCs w:val="28"/>
                <w:shd w:val="clear" w:color="auto" w:fill="FFFFFF"/>
              </w:rPr>
              <w:t>增</w:t>
            </w:r>
            <w:r>
              <w:rPr>
                <w:rFonts w:hint="eastAsia"/>
                <w:color w:val="000000" w:themeColor="text1"/>
                <w:kern w:val="0"/>
                <w:sz w:val="28"/>
                <w:szCs w:val="28"/>
                <w:shd w:val="clear" w:color="auto" w:fill="FFFFFF"/>
              </w:rPr>
              <w:t>）</w:t>
            </w:r>
            <w:r>
              <w:rPr>
                <w:color w:val="000000" w:themeColor="text1"/>
                <w:kern w:val="0"/>
                <w:sz w:val="28"/>
                <w:szCs w:val="28"/>
                <w:shd w:val="clear" w:color="auto" w:fill="FFFFFF"/>
              </w:rPr>
              <w:t>，可用于发放绩效及用于续</w:t>
            </w:r>
            <w:r>
              <w:rPr>
                <w:color w:val="000000" w:themeColor="text1"/>
                <w:kern w:val="0"/>
                <w:sz w:val="28"/>
                <w:szCs w:val="28"/>
                <w:shd w:val="clear" w:color="auto" w:fill="FFFFFF"/>
              </w:rPr>
              <w:t>研</w:t>
            </w:r>
            <w:r>
              <w:rPr>
                <w:color w:val="000000" w:themeColor="text1"/>
                <w:kern w:val="0"/>
                <w:sz w:val="28"/>
                <w:szCs w:val="28"/>
                <w:shd w:val="clear" w:color="auto" w:fill="FFFFFF"/>
              </w:rPr>
              <w:t>预研的其他支出。</w:t>
            </w:r>
          </w:p>
        </w:tc>
      </w:tr>
      <w:tr w14:paraId="79ECFAA2" w14:textId="77777777" w:rsidTr="00484099">
        <w:tblPrEx>
          <w:tblW w:w="0" w:type="auto"/>
          <w:jc w:val="center"/>
          <w:tblInd w:w="0" w:type="dxa"/>
          <w:tblLook w:val="04A0"/>
        </w:tblPrEx>
        <w:trPr>
          <w:trHeight w:val="1534"/>
          <w:jc w:val="center"/>
        </w:trPr>
        <w:tc>
          <w:tcPr>
            <w:tcW w:w="1911" w:type="dxa"/>
            <w:tcBorders>
              <w:bottom w:val="single" w:sz="4" w:space="0" w:color="auto"/>
            </w:tcBorders>
            <w:vAlign w:val="center"/>
          </w:tcPr>
          <w:p w:rsidR="004400CD" w:rsidP="00484099" w14:paraId="4FEFC182" w14:textId="77777777">
            <w:pPr>
              <w:spacing w:line="0" w:lineRule="atLeast"/>
              <w:jc w:val="center"/>
              <w:rPr>
                <w:color w:val="000000" w:themeColor="text1"/>
                <w:kern w:val="0"/>
                <w:sz w:val="28"/>
                <w:szCs w:val="28"/>
                <w:shd w:val="clear" w:color="auto" w:fill="FFFFFF"/>
              </w:rPr>
            </w:pPr>
            <w:r>
              <w:rPr>
                <w:rFonts w:hint="eastAsia"/>
                <w:color w:val="000000" w:themeColor="text1"/>
                <w:kern w:val="0"/>
                <w:sz w:val="28"/>
                <w:szCs w:val="28"/>
                <w:shd w:val="clear" w:color="auto" w:fill="FFFFFF"/>
              </w:rPr>
              <w:t>已</w:t>
            </w:r>
            <w:r>
              <w:rPr>
                <w:color w:val="000000" w:themeColor="text1"/>
                <w:kern w:val="0"/>
                <w:sz w:val="28"/>
                <w:szCs w:val="28"/>
                <w:shd w:val="clear" w:color="auto" w:fill="FFFFFF"/>
              </w:rPr>
              <w:t>结转的</w:t>
            </w:r>
          </w:p>
          <w:p w:rsidR="004400CD" w:rsidP="00484099" w14:paraId="3BDF7ECE" w14:textId="77777777">
            <w:pPr>
              <w:spacing w:line="240" w:lineRule="atLeast"/>
              <w:jc w:val="center"/>
              <w:rPr>
                <w:color w:val="000000" w:themeColor="text1"/>
                <w:kern w:val="0"/>
                <w:sz w:val="28"/>
                <w:szCs w:val="28"/>
                <w:shd w:val="clear" w:color="auto" w:fill="FFFFFF"/>
              </w:rPr>
            </w:pPr>
            <w:r>
              <w:rPr>
                <w:rFonts w:hint="eastAsia"/>
                <w:color w:val="000000" w:themeColor="text1"/>
                <w:kern w:val="0"/>
                <w:sz w:val="28"/>
                <w:szCs w:val="28"/>
                <w:shd w:val="clear" w:color="auto" w:fill="FFFFFF"/>
              </w:rPr>
              <w:t>结余经费</w:t>
            </w:r>
          </w:p>
        </w:tc>
        <w:tc>
          <w:tcPr>
            <w:tcW w:w="6809" w:type="dxa"/>
            <w:tcBorders>
              <w:bottom w:val="single" w:sz="4" w:space="0" w:color="auto"/>
            </w:tcBorders>
            <w:vAlign w:val="center"/>
          </w:tcPr>
          <w:p w:rsidR="004400CD" w:rsidP="00484099" w14:paraId="081071DE" w14:textId="77777777">
            <w:pPr>
              <w:spacing w:line="440" w:lineRule="exact"/>
              <w:ind w:firstLine="560" w:firstLineChars="200"/>
              <w:jc w:val="both"/>
              <w:rPr>
                <w:color w:val="000000" w:themeColor="text1"/>
                <w:kern w:val="0"/>
                <w:sz w:val="28"/>
                <w:szCs w:val="28"/>
                <w:shd w:val="clear" w:color="auto" w:fill="FFFFFF"/>
              </w:rPr>
            </w:pPr>
            <w:r>
              <w:rPr>
                <w:rFonts w:hint="eastAsia"/>
                <w:color w:val="000000" w:themeColor="text1"/>
                <w:kern w:val="0"/>
                <w:sz w:val="28"/>
                <w:szCs w:val="28"/>
                <w:shd w:val="clear" w:color="auto" w:fill="FFFFFF"/>
              </w:rPr>
              <w:t>已结转至</w:t>
            </w:r>
            <w:r>
              <w:rPr>
                <w:color w:val="000000" w:themeColor="text1"/>
                <w:kern w:val="0"/>
                <w:sz w:val="28"/>
                <w:szCs w:val="28"/>
                <w:shd w:val="clear" w:color="auto" w:fill="FFFFFF"/>
              </w:rPr>
              <w:t>横向续</w:t>
            </w:r>
            <w:r>
              <w:rPr>
                <w:color w:val="000000" w:themeColor="text1"/>
                <w:kern w:val="0"/>
                <w:sz w:val="28"/>
                <w:szCs w:val="28"/>
                <w:shd w:val="clear" w:color="auto" w:fill="FFFFFF"/>
              </w:rPr>
              <w:t>研</w:t>
            </w:r>
            <w:r>
              <w:rPr>
                <w:color w:val="000000" w:themeColor="text1"/>
                <w:kern w:val="0"/>
                <w:sz w:val="28"/>
                <w:szCs w:val="28"/>
                <w:shd w:val="clear" w:color="auto" w:fill="FFFFFF"/>
              </w:rPr>
              <w:t>预研经费（</w:t>
            </w:r>
            <w:r>
              <w:rPr>
                <w:color w:val="000000" w:themeColor="text1"/>
                <w:kern w:val="0"/>
                <w:sz w:val="28"/>
                <w:szCs w:val="28"/>
                <w:shd w:val="clear" w:color="auto" w:fill="FFFFFF"/>
              </w:rPr>
              <w:t>1409</w:t>
            </w:r>
            <w:r>
              <w:rPr>
                <w:color w:val="000000" w:themeColor="text1"/>
                <w:kern w:val="0"/>
                <w:sz w:val="28"/>
                <w:szCs w:val="28"/>
                <w:shd w:val="clear" w:color="auto" w:fill="FFFFFF"/>
              </w:rPr>
              <w:t>）</w:t>
            </w:r>
            <w:r>
              <w:rPr>
                <w:rFonts w:hint="eastAsia"/>
                <w:color w:val="000000" w:themeColor="text1"/>
                <w:kern w:val="0"/>
                <w:sz w:val="28"/>
                <w:szCs w:val="28"/>
                <w:shd w:val="clear" w:color="auto" w:fill="FFFFFF"/>
              </w:rPr>
              <w:t>的存量</w:t>
            </w:r>
            <w:r>
              <w:rPr>
                <w:color w:val="000000" w:themeColor="text1"/>
                <w:kern w:val="0"/>
                <w:sz w:val="28"/>
                <w:szCs w:val="28"/>
                <w:shd w:val="clear" w:color="auto" w:fill="FFFFFF"/>
              </w:rPr>
              <w:t>结余</w:t>
            </w:r>
            <w:r>
              <w:rPr>
                <w:rFonts w:hint="eastAsia"/>
                <w:color w:val="000000" w:themeColor="text1"/>
                <w:kern w:val="0"/>
                <w:sz w:val="28"/>
                <w:szCs w:val="28"/>
                <w:shd w:val="clear" w:color="auto" w:fill="FFFFFF"/>
              </w:rPr>
              <w:t>经费，可选择变更经费开支</w:t>
            </w:r>
            <w:r>
              <w:rPr>
                <w:color w:val="000000" w:themeColor="text1"/>
                <w:kern w:val="0"/>
                <w:sz w:val="28"/>
                <w:szCs w:val="28"/>
                <w:shd w:val="clear" w:color="auto" w:fill="FFFFFF"/>
              </w:rPr>
              <w:t>模式为上缴</w:t>
            </w:r>
            <w:r>
              <w:rPr>
                <w:color w:val="000000" w:themeColor="text1"/>
                <w:kern w:val="0"/>
                <w:sz w:val="28"/>
                <w:szCs w:val="28"/>
                <w:shd w:val="clear" w:color="auto" w:fill="FFFFFF"/>
              </w:rPr>
              <w:t>20%</w:t>
            </w:r>
            <w:r>
              <w:rPr>
                <w:color w:val="000000" w:themeColor="text1"/>
                <w:kern w:val="0"/>
                <w:sz w:val="28"/>
                <w:szCs w:val="28"/>
                <w:shd w:val="clear" w:color="auto" w:fill="FFFFFF"/>
              </w:rPr>
              <w:t>学校，</w:t>
            </w:r>
            <w:r>
              <w:rPr>
                <w:color w:val="000000" w:themeColor="text1"/>
                <w:kern w:val="0"/>
                <w:sz w:val="28"/>
                <w:szCs w:val="28"/>
                <w:shd w:val="clear" w:color="auto" w:fill="FFFFFF"/>
              </w:rPr>
              <w:t>10%</w:t>
            </w:r>
            <w:r>
              <w:rPr>
                <w:color w:val="000000" w:themeColor="text1"/>
                <w:kern w:val="0"/>
                <w:sz w:val="28"/>
                <w:szCs w:val="28"/>
                <w:shd w:val="clear" w:color="auto" w:fill="FFFFFF"/>
              </w:rPr>
              <w:t>二级单位后，剩余经费转入</w:t>
            </w:r>
            <w:r>
              <w:rPr>
                <w:rFonts w:hint="eastAsia"/>
                <w:color w:val="000000" w:themeColor="text1"/>
                <w:kern w:val="0"/>
                <w:sz w:val="28"/>
                <w:szCs w:val="28"/>
                <w:shd w:val="clear" w:color="auto" w:fill="FFFFFF"/>
              </w:rPr>
              <w:t>项目负责人</w:t>
            </w:r>
            <w:r>
              <w:rPr>
                <w:color w:val="000000" w:themeColor="text1"/>
                <w:kern w:val="0"/>
                <w:sz w:val="28"/>
                <w:szCs w:val="28"/>
                <w:shd w:val="clear" w:color="auto" w:fill="FFFFFF"/>
              </w:rPr>
              <w:t>横向绩效经费</w:t>
            </w:r>
            <w:r>
              <w:rPr>
                <w:rFonts w:hint="eastAsia"/>
                <w:color w:val="000000" w:themeColor="text1"/>
                <w:kern w:val="0"/>
                <w:sz w:val="28"/>
                <w:szCs w:val="28"/>
                <w:shd w:val="clear" w:color="auto" w:fill="FFFFFF"/>
              </w:rPr>
              <w:t>（</w:t>
            </w:r>
            <w:r>
              <w:rPr>
                <w:color w:val="000000" w:themeColor="text1"/>
                <w:kern w:val="0"/>
                <w:sz w:val="28"/>
                <w:szCs w:val="28"/>
                <w:shd w:val="clear" w:color="auto" w:fill="FFFFFF"/>
              </w:rPr>
              <w:t>1410</w:t>
            </w:r>
            <w:r>
              <w:rPr>
                <w:rFonts w:hint="eastAsia"/>
                <w:color w:val="000000" w:themeColor="text1"/>
                <w:kern w:val="0"/>
                <w:sz w:val="28"/>
                <w:szCs w:val="28"/>
                <w:shd w:val="clear" w:color="auto" w:fill="FFFFFF"/>
              </w:rPr>
              <w:t>新增）。</w:t>
            </w:r>
          </w:p>
        </w:tc>
      </w:tr>
    </w:tbl>
    <w:p w:rsidR="004400CD" w:rsidP="004400CD" w14:paraId="13580068" w14:textId="77777777">
      <w:pPr>
        <w:spacing w:line="520" w:lineRule="exact"/>
        <w:ind w:firstLine="640" w:firstLineChars="200"/>
        <w:jc w:val="both"/>
        <w:rPr>
          <w:rFonts w:ascii="Time" w:hAnsi="Time" w:hint="eastAsia"/>
          <w:color w:val="000000" w:themeColor="text1"/>
          <w:szCs w:val="44"/>
          <w:shd w:val="clear" w:color="auto" w:fill="FFFFFF"/>
        </w:rPr>
      </w:pPr>
    </w:p>
    <w:p w:rsidR="00110911" w:rsidP="004400CD" w14:paraId="2CA295E0" w14:textId="4C77A2BB">
      <w:pPr>
        <w:spacing w:line="520" w:lineRule="exact"/>
        <w:ind w:firstLine="640" w:firstLineChars="200"/>
        <w:jc w:val="both"/>
        <w:rPr>
          <w:rFonts w:ascii="Time" w:hAnsi="Time" w:hint="eastAsia"/>
          <w:color w:val="000000" w:themeColor="text1"/>
          <w:szCs w:val="44"/>
          <w:shd w:val="clear" w:color="auto" w:fill="FFFFFF"/>
        </w:rPr>
      </w:pPr>
      <w:r>
        <w:rPr>
          <w:rFonts w:ascii="Time" w:hAnsi="Time" w:hint="eastAsia"/>
          <w:color w:val="000000" w:themeColor="text1"/>
          <w:szCs w:val="44"/>
          <w:shd w:val="clear" w:color="auto" w:fill="FFFFFF"/>
        </w:rPr>
        <w:t>横向科研项目</w:t>
      </w:r>
      <w:r w:rsidRPr="00EA48DE">
        <w:rPr>
          <w:rFonts w:ascii="Time" w:hAnsi="Time" w:hint="eastAsia"/>
          <w:color w:val="000000" w:themeColor="text1"/>
          <w:szCs w:val="44"/>
          <w:shd w:val="clear" w:color="auto" w:fill="FFFFFF"/>
        </w:rPr>
        <w:t>尚未</w:t>
      </w:r>
      <w:r>
        <w:rPr>
          <w:rFonts w:ascii="Time" w:hAnsi="Time" w:hint="eastAsia"/>
          <w:color w:val="000000" w:themeColor="text1"/>
          <w:szCs w:val="44"/>
          <w:shd w:val="clear" w:color="auto" w:fill="FFFFFF"/>
        </w:rPr>
        <w:t>办理</w:t>
      </w:r>
      <w:r w:rsidRPr="00EA48DE">
        <w:rPr>
          <w:rFonts w:ascii="Time" w:hAnsi="Time" w:hint="eastAsia"/>
          <w:color w:val="000000" w:themeColor="text1"/>
          <w:szCs w:val="44"/>
          <w:shd w:val="clear" w:color="auto" w:fill="FFFFFF"/>
        </w:rPr>
        <w:t>结转的</w:t>
      </w:r>
      <w:r>
        <w:rPr>
          <w:rFonts w:ascii="Time" w:hAnsi="Time" w:hint="eastAsia"/>
          <w:color w:val="000000" w:themeColor="text1"/>
          <w:szCs w:val="44"/>
          <w:shd w:val="clear" w:color="auto" w:fill="FFFFFF"/>
        </w:rPr>
        <w:t>，可在科研系统</w:t>
      </w:r>
      <w:r w:rsidRPr="00EA48DE">
        <w:rPr>
          <w:rFonts w:ascii="Time" w:hAnsi="Time" w:hint="eastAsia"/>
          <w:color w:val="000000" w:themeColor="text1"/>
          <w:szCs w:val="44"/>
          <w:shd w:val="clear" w:color="auto" w:fill="FFFFFF"/>
        </w:rPr>
        <w:t>办理</w:t>
      </w:r>
      <w:r>
        <w:rPr>
          <w:rFonts w:ascii="Time" w:hAnsi="Time" w:hint="eastAsia"/>
          <w:color w:val="000000" w:themeColor="text1"/>
          <w:szCs w:val="44"/>
          <w:shd w:val="clear" w:color="auto" w:fill="FFFFFF"/>
        </w:rPr>
        <w:t>项目</w:t>
      </w:r>
      <w:r w:rsidRPr="00EA48DE">
        <w:rPr>
          <w:rFonts w:ascii="Time" w:hAnsi="Time" w:hint="eastAsia"/>
          <w:color w:val="000000" w:themeColor="text1"/>
          <w:szCs w:val="44"/>
          <w:shd w:val="clear" w:color="auto" w:fill="FFFFFF"/>
        </w:rPr>
        <w:t>结转时选择</w:t>
      </w:r>
      <w:r>
        <w:rPr>
          <w:rFonts w:ascii="Time" w:hAnsi="Time" w:hint="eastAsia"/>
          <w:color w:val="000000" w:themeColor="text1"/>
          <w:szCs w:val="44"/>
          <w:shd w:val="clear" w:color="auto" w:fill="FFFFFF"/>
        </w:rPr>
        <w:t>，例如某学院某老师承担的横向科研项目已结题，在办理结转时可选择上述模式</w:t>
      </w:r>
      <w:r>
        <w:rPr>
          <w:rFonts w:ascii="Time" w:hAnsi="Time" w:hint="eastAsia"/>
          <w:color w:val="000000" w:themeColor="text1"/>
          <w:szCs w:val="44"/>
          <w:shd w:val="clear" w:color="auto" w:fill="FFFFFF"/>
        </w:rPr>
        <w:t>一</w:t>
      </w:r>
      <w:r>
        <w:rPr>
          <w:rFonts w:ascii="Time" w:hAnsi="Time" w:hint="eastAsia"/>
          <w:color w:val="000000" w:themeColor="text1"/>
          <w:szCs w:val="44"/>
          <w:shd w:val="clear" w:color="auto" w:fill="FFFFFF"/>
        </w:rPr>
        <w:t>（转入个人</w:t>
      </w:r>
      <w:r>
        <w:rPr>
          <w:rFonts w:ascii="Time" w:hAnsi="Time" w:hint="eastAsia"/>
          <w:color w:val="000000" w:themeColor="text1"/>
          <w:szCs w:val="44"/>
          <w:shd w:val="clear" w:color="auto" w:fill="FFFFFF"/>
        </w:rPr>
        <w:t>1</w:t>
      </w:r>
      <w:r>
        <w:rPr>
          <w:rFonts w:ascii="Time" w:hAnsi="Time"/>
          <w:color w:val="000000" w:themeColor="text1"/>
          <w:szCs w:val="44"/>
          <w:shd w:val="clear" w:color="auto" w:fill="FFFFFF"/>
        </w:rPr>
        <w:t>409</w:t>
      </w:r>
      <w:r>
        <w:rPr>
          <w:rFonts w:ascii="Time" w:hAnsi="Time" w:hint="eastAsia"/>
          <w:color w:val="000000" w:themeColor="text1"/>
          <w:szCs w:val="44"/>
          <w:shd w:val="clear" w:color="auto" w:fill="FFFFFF"/>
        </w:rPr>
        <w:t>账号，不可发放绩效），或者选择上述模式二（上缴学校</w:t>
      </w:r>
      <w:r>
        <w:rPr>
          <w:rFonts w:ascii="Time" w:hAnsi="Time" w:hint="eastAsia"/>
          <w:color w:val="000000" w:themeColor="text1"/>
          <w:szCs w:val="44"/>
          <w:shd w:val="clear" w:color="auto" w:fill="FFFFFF"/>
        </w:rPr>
        <w:t>2</w:t>
      </w:r>
      <w:r>
        <w:rPr>
          <w:rFonts w:ascii="Time" w:hAnsi="Time"/>
          <w:color w:val="000000" w:themeColor="text1"/>
          <w:szCs w:val="44"/>
          <w:shd w:val="clear" w:color="auto" w:fill="FFFFFF"/>
        </w:rPr>
        <w:t>0%</w:t>
      </w:r>
      <w:r>
        <w:rPr>
          <w:rFonts w:ascii="Time" w:hAnsi="Time" w:hint="eastAsia"/>
          <w:color w:val="000000" w:themeColor="text1"/>
          <w:szCs w:val="44"/>
          <w:shd w:val="clear" w:color="auto" w:fill="FFFFFF"/>
        </w:rPr>
        <w:t>、学院</w:t>
      </w:r>
      <w:r>
        <w:rPr>
          <w:rFonts w:ascii="Time" w:hAnsi="Time" w:hint="eastAsia"/>
          <w:color w:val="000000" w:themeColor="text1"/>
          <w:szCs w:val="44"/>
          <w:shd w:val="clear" w:color="auto" w:fill="FFFFFF"/>
        </w:rPr>
        <w:t>1</w:t>
      </w:r>
      <w:r>
        <w:rPr>
          <w:rFonts w:ascii="Time" w:hAnsi="Time"/>
          <w:color w:val="000000" w:themeColor="text1"/>
          <w:szCs w:val="44"/>
          <w:shd w:val="clear" w:color="auto" w:fill="FFFFFF"/>
        </w:rPr>
        <w:t>0%</w:t>
      </w:r>
      <w:r>
        <w:rPr>
          <w:rFonts w:ascii="Time" w:hAnsi="Time" w:hint="eastAsia"/>
          <w:color w:val="000000" w:themeColor="text1"/>
          <w:szCs w:val="44"/>
          <w:shd w:val="clear" w:color="auto" w:fill="FFFFFF"/>
        </w:rPr>
        <w:t>后转入个人</w:t>
      </w:r>
      <w:r>
        <w:rPr>
          <w:rFonts w:ascii="Time" w:hAnsi="Time" w:hint="eastAsia"/>
          <w:color w:val="000000" w:themeColor="text1"/>
          <w:szCs w:val="44"/>
          <w:shd w:val="clear" w:color="auto" w:fill="FFFFFF"/>
        </w:rPr>
        <w:t>1</w:t>
      </w:r>
      <w:r>
        <w:rPr>
          <w:rFonts w:ascii="Time" w:hAnsi="Time"/>
          <w:color w:val="000000" w:themeColor="text1"/>
          <w:szCs w:val="44"/>
          <w:shd w:val="clear" w:color="auto" w:fill="FFFFFF"/>
        </w:rPr>
        <w:t>410</w:t>
      </w:r>
      <w:r>
        <w:rPr>
          <w:rFonts w:ascii="Time" w:hAnsi="Time" w:hint="eastAsia"/>
          <w:color w:val="000000" w:themeColor="text1"/>
          <w:szCs w:val="44"/>
          <w:shd w:val="clear" w:color="auto" w:fill="FFFFFF"/>
        </w:rPr>
        <w:t>账号，可发放绩效）。</w:t>
      </w:r>
      <w:r w:rsidRPr="0058502B" w:rsidR="0058502B">
        <w:rPr>
          <w:rFonts w:ascii="Time" w:hAnsi="Time" w:hint="eastAsia"/>
          <w:color w:val="000000" w:themeColor="text1"/>
          <w:szCs w:val="44"/>
          <w:shd w:val="clear" w:color="auto" w:fill="FFFFFF"/>
        </w:rPr>
        <w:t>模式</w:t>
      </w:r>
      <w:r w:rsidRPr="0058502B" w:rsidR="0058502B">
        <w:rPr>
          <w:rFonts w:ascii="Time" w:hAnsi="Time" w:hint="eastAsia"/>
          <w:color w:val="000000" w:themeColor="text1"/>
          <w:szCs w:val="44"/>
          <w:shd w:val="clear" w:color="auto" w:fill="FFFFFF"/>
        </w:rPr>
        <w:t>一</w:t>
      </w:r>
      <w:r w:rsidRPr="0058502B" w:rsidR="0058502B">
        <w:rPr>
          <w:rFonts w:ascii="Time" w:hAnsi="Time" w:hint="eastAsia"/>
          <w:color w:val="000000" w:themeColor="text1"/>
          <w:szCs w:val="44"/>
          <w:shd w:val="clear" w:color="auto" w:fill="FFFFFF"/>
        </w:rPr>
        <w:t>和模式</w:t>
      </w:r>
      <w:r w:rsidRPr="0058502B" w:rsidR="0058502B">
        <w:rPr>
          <w:rFonts w:ascii="Time" w:hAnsi="Time" w:hint="eastAsia"/>
          <w:color w:val="000000" w:themeColor="text1"/>
          <w:szCs w:val="44"/>
          <w:shd w:val="clear" w:color="auto" w:fill="FFFFFF"/>
        </w:rPr>
        <w:t>二只</w:t>
      </w:r>
      <w:r w:rsidRPr="0058502B" w:rsidR="0058502B">
        <w:rPr>
          <w:rFonts w:ascii="Time" w:hAnsi="Time" w:hint="eastAsia"/>
          <w:color w:val="000000" w:themeColor="text1"/>
          <w:szCs w:val="44"/>
          <w:shd w:val="clear" w:color="auto" w:fill="FFFFFF"/>
        </w:rPr>
        <w:t>能选择其中一个，不可以部分选择模式一、部分选择模式二。</w:t>
      </w:r>
    </w:p>
    <w:p w:rsidR="004400CD" w:rsidRPr="0094079D" w:rsidP="004400CD" w14:paraId="4F793894" w14:textId="3009E07A">
      <w:pPr>
        <w:spacing w:line="520" w:lineRule="exact"/>
        <w:ind w:firstLine="640" w:firstLineChars="200"/>
        <w:jc w:val="both"/>
        <w:rPr>
          <w:rFonts w:cs="Times New Roman"/>
          <w:szCs w:val="32"/>
        </w:rPr>
      </w:pPr>
      <w:r w:rsidRPr="00EA48DE">
        <w:rPr>
          <w:rFonts w:cs="Times New Roman" w:hint="eastAsia"/>
          <w:szCs w:val="32"/>
        </w:rPr>
        <w:t>已结转的结余经费</w:t>
      </w:r>
      <w:r w:rsidR="00110911">
        <w:rPr>
          <w:rFonts w:cs="Times New Roman" w:hint="eastAsia"/>
          <w:szCs w:val="32"/>
        </w:rPr>
        <w:t>（目前</w:t>
      </w:r>
      <w:r w:rsidR="00110911">
        <w:rPr>
          <w:rFonts w:cs="Times New Roman" w:hint="eastAsia"/>
          <w:szCs w:val="32"/>
        </w:rPr>
        <w:t>1</w:t>
      </w:r>
      <w:r w:rsidR="00110911">
        <w:rPr>
          <w:rFonts w:cs="Times New Roman"/>
          <w:szCs w:val="32"/>
        </w:rPr>
        <w:t>409</w:t>
      </w:r>
      <w:r w:rsidR="00110911">
        <w:rPr>
          <w:rFonts w:cs="Times New Roman" w:hint="eastAsia"/>
          <w:szCs w:val="32"/>
        </w:rPr>
        <w:t>账号）</w:t>
      </w:r>
      <w:r>
        <w:rPr>
          <w:rFonts w:cs="Times New Roman" w:hint="eastAsia"/>
          <w:szCs w:val="32"/>
        </w:rPr>
        <w:t>须</w:t>
      </w:r>
      <w:r w:rsidRPr="00EA48DE">
        <w:rPr>
          <w:rFonts w:cs="Times New Roman" w:hint="eastAsia"/>
          <w:szCs w:val="32"/>
        </w:rPr>
        <w:t>线下</w:t>
      </w:r>
      <w:r w:rsidR="00AF6B38">
        <w:rPr>
          <w:rFonts w:cs="Times New Roman" w:hint="eastAsia"/>
          <w:szCs w:val="32"/>
        </w:rPr>
        <w:t>批量</w:t>
      </w:r>
      <w:r w:rsidRPr="00EA48DE">
        <w:rPr>
          <w:rFonts w:cs="Times New Roman" w:hint="eastAsia"/>
          <w:szCs w:val="32"/>
        </w:rPr>
        <w:t>处理</w:t>
      </w:r>
      <w:r>
        <w:rPr>
          <w:rFonts w:cs="Times New Roman" w:hint="eastAsia"/>
          <w:szCs w:val="32"/>
        </w:rPr>
        <w:t>，</w:t>
      </w:r>
      <w:r w:rsidRPr="00EA48DE">
        <w:rPr>
          <w:rFonts w:cs="Times New Roman" w:hint="eastAsia"/>
          <w:szCs w:val="32"/>
        </w:rPr>
        <w:t>相关事宜</w:t>
      </w:r>
      <w:r>
        <w:rPr>
          <w:rFonts w:cs="Times New Roman" w:hint="eastAsia"/>
          <w:szCs w:val="32"/>
        </w:rPr>
        <w:t>由科学研究院</w:t>
      </w:r>
      <w:r w:rsidR="005508AC">
        <w:rPr>
          <w:rFonts w:cs="Times New Roman" w:hint="eastAsia"/>
          <w:szCs w:val="32"/>
        </w:rPr>
        <w:t>、人文社会科学处</w:t>
      </w:r>
      <w:bookmarkStart w:id="0" w:name="_GoBack"/>
      <w:bookmarkEnd w:id="0"/>
      <w:r>
        <w:rPr>
          <w:rFonts w:cs="Times New Roman" w:hint="eastAsia"/>
          <w:szCs w:val="32"/>
        </w:rPr>
        <w:t>另行通知。</w:t>
      </w:r>
    </w:p>
    <w:p w:rsidR="00B4153F" w:rsidRPr="003D7BF6" w:rsidP="00811AFA" w14:paraId="0129DBF5" w14:textId="765B81BE">
      <w:pPr>
        <w:spacing w:line="540" w:lineRule="exact"/>
        <w:ind w:firstLine="640" w:firstLineChars="200"/>
        <w:jc w:val="both"/>
        <w:rPr>
          <w:rFonts w:cs="Times New Roman"/>
          <w:szCs w:val="32"/>
        </w:rPr>
      </w:pPr>
      <w:r w:rsidRPr="00BB19D7">
        <w:rPr>
          <w:rFonts w:cs="Times New Roman" w:hint="eastAsia"/>
          <w:szCs w:val="32"/>
        </w:rPr>
        <w:t>以上二级单位提取的</w:t>
      </w:r>
      <w:r w:rsidRPr="00BB19D7">
        <w:rPr>
          <w:rFonts w:cs="Times New Roman" w:hint="eastAsia"/>
          <w:szCs w:val="32"/>
        </w:rPr>
        <w:t>10%</w:t>
      </w:r>
      <w:r w:rsidRPr="00BB19D7">
        <w:rPr>
          <w:rFonts w:cs="Times New Roman" w:hint="eastAsia"/>
          <w:szCs w:val="32"/>
        </w:rPr>
        <w:t>横向结余经费可用于单位科研发展的相关支出，开支范围包括但不限于房产资源使用费、水电费等，具体方案由二级单位</w:t>
      </w:r>
      <w:r w:rsidR="00106AEF">
        <w:rPr>
          <w:rFonts w:cs="Times New Roman" w:hint="eastAsia"/>
          <w:szCs w:val="32"/>
        </w:rPr>
        <w:t>自行</w:t>
      </w:r>
      <w:r w:rsidRPr="00BB19D7">
        <w:rPr>
          <w:rFonts w:cs="Times New Roman" w:hint="eastAsia"/>
          <w:szCs w:val="32"/>
        </w:rPr>
        <w:t>制定。</w:t>
      </w:r>
    </w:p>
    <w:p w:rsidR="00632DC3" w:rsidRPr="008F27F0" w:rsidP="00632DC3" w14:paraId="4157BB13" w14:textId="41621FAF">
      <w:pPr>
        <w:spacing w:line="580" w:lineRule="atLeast"/>
        <w:ind w:firstLine="640" w:firstLineChars="200"/>
        <w:jc w:val="both"/>
        <w:rPr>
          <w:rFonts w:cs="Times New Roman"/>
          <w:b/>
          <w:szCs w:val="32"/>
        </w:rPr>
      </w:pPr>
      <w:r>
        <w:rPr>
          <w:rFonts w:cs="Times New Roman"/>
          <w:b/>
          <w:szCs w:val="32"/>
        </w:rPr>
        <w:t>4</w:t>
      </w:r>
      <w:r w:rsidRPr="008F27F0">
        <w:rPr>
          <w:rFonts w:cs="Times New Roman" w:hint="eastAsia"/>
          <w:b/>
          <w:szCs w:val="32"/>
        </w:rPr>
        <w:t>．横向科研项目经费可开支餐费吗？开支要求及标准是什么？是否一定需要正式的邀请函？</w:t>
      </w:r>
    </w:p>
    <w:p w:rsidR="00B9797F" w:rsidRPr="001B66AD" w:rsidP="00632DC3" w14:paraId="4E344E83" w14:textId="653BD0E0">
      <w:pPr>
        <w:spacing w:line="580" w:lineRule="atLeast"/>
        <w:ind w:firstLine="640" w:firstLineChars="200"/>
        <w:jc w:val="both"/>
        <w:rPr>
          <w:rFonts w:cs="Times New Roman"/>
          <w:szCs w:val="32"/>
          <w:u w:val="single"/>
        </w:rPr>
      </w:pPr>
      <w:r>
        <w:rPr>
          <w:rFonts w:cs="Times New Roman" w:hint="eastAsia"/>
          <w:szCs w:val="32"/>
        </w:rPr>
        <w:t>答：（</w:t>
      </w:r>
      <w:r>
        <w:rPr>
          <w:rFonts w:cs="Times New Roman" w:hint="eastAsia"/>
          <w:szCs w:val="32"/>
        </w:rPr>
        <w:t>1</w:t>
      </w:r>
      <w:r>
        <w:rPr>
          <w:rFonts w:cs="Times New Roman" w:hint="eastAsia"/>
          <w:szCs w:val="32"/>
        </w:rPr>
        <w:t>）按预算开支。餐费可在</w:t>
      </w:r>
      <w:r>
        <w:rPr>
          <w:rFonts w:cs="Times New Roman" w:hint="eastAsia"/>
          <w:szCs w:val="32"/>
          <w:u w:val="single"/>
        </w:rPr>
        <w:t>科研业务费</w:t>
      </w:r>
      <w:r>
        <w:rPr>
          <w:rFonts w:cs="Times New Roman" w:hint="eastAsia"/>
          <w:szCs w:val="32"/>
        </w:rPr>
        <w:t>预算中开支，</w:t>
      </w:r>
      <w:r>
        <w:rPr>
          <w:rFonts w:cs="Times New Roman"/>
          <w:szCs w:val="32"/>
        </w:rPr>
        <w:t>合同有约定的从其约定；</w:t>
      </w:r>
      <w:r>
        <w:rPr>
          <w:rFonts w:cs="Times New Roman" w:hint="eastAsia"/>
          <w:szCs w:val="32"/>
        </w:rPr>
        <w:t>（</w:t>
      </w:r>
      <w:r>
        <w:rPr>
          <w:rFonts w:cs="Times New Roman" w:hint="eastAsia"/>
          <w:szCs w:val="32"/>
        </w:rPr>
        <w:t>2</w:t>
      </w:r>
      <w:r>
        <w:rPr>
          <w:rFonts w:cs="Times New Roman" w:hint="eastAsia"/>
          <w:szCs w:val="32"/>
        </w:rPr>
        <w:t>）按标准开支。横向科研经费的</w:t>
      </w:r>
      <w:r>
        <w:rPr>
          <w:rFonts w:cs="Times New Roman"/>
          <w:szCs w:val="32"/>
        </w:rPr>
        <w:t>科研业务接待</w:t>
      </w:r>
      <w:r w:rsidR="00C77964">
        <w:rPr>
          <w:rFonts w:cs="Times New Roman" w:hint="eastAsia"/>
          <w:szCs w:val="32"/>
        </w:rPr>
        <w:t>开支</w:t>
      </w:r>
      <w:r>
        <w:rPr>
          <w:rFonts w:cs="Times New Roman"/>
          <w:szCs w:val="32"/>
        </w:rPr>
        <w:t>标准</w:t>
      </w:r>
      <w:r w:rsidR="00C77964">
        <w:rPr>
          <w:rFonts w:cs="Times New Roman" w:hint="eastAsia"/>
          <w:szCs w:val="32"/>
        </w:rPr>
        <w:t>最高不超过</w:t>
      </w:r>
      <w:r>
        <w:rPr>
          <w:rFonts w:cs="Times New Roman"/>
          <w:szCs w:val="32"/>
        </w:rPr>
        <w:t>260</w:t>
      </w:r>
      <w:r>
        <w:rPr>
          <w:rFonts w:cs="Times New Roman"/>
          <w:szCs w:val="32"/>
        </w:rPr>
        <w:t>元</w:t>
      </w:r>
      <w:r>
        <w:rPr>
          <w:rFonts w:cs="Times New Roman"/>
          <w:szCs w:val="32"/>
        </w:rPr>
        <w:t>/</w:t>
      </w:r>
      <w:r>
        <w:rPr>
          <w:rFonts w:cs="Times New Roman"/>
          <w:szCs w:val="32"/>
        </w:rPr>
        <w:t>人</w:t>
      </w:r>
      <w:r>
        <w:rPr>
          <w:rFonts w:cs="Times New Roman"/>
          <w:szCs w:val="32"/>
        </w:rPr>
        <w:t>/</w:t>
      </w:r>
      <w:r>
        <w:rPr>
          <w:rFonts w:cs="Times New Roman"/>
          <w:szCs w:val="32"/>
        </w:rPr>
        <w:t>餐</w:t>
      </w:r>
      <w:r w:rsidR="00A602B8">
        <w:rPr>
          <w:rFonts w:cs="Times New Roman" w:hint="eastAsia"/>
          <w:szCs w:val="32"/>
        </w:rPr>
        <w:t>，</w:t>
      </w:r>
      <w:r>
        <w:rPr>
          <w:rFonts w:cs="Times New Roman"/>
          <w:szCs w:val="32"/>
        </w:rPr>
        <w:t>陪餐人数由项目负责人根据科研活动实际需要合理确定</w:t>
      </w:r>
      <w:r w:rsidR="00AE54DD">
        <w:rPr>
          <w:rFonts w:cs="Times New Roman" w:hint="eastAsia"/>
          <w:szCs w:val="32"/>
        </w:rPr>
        <w:t>，接待餐费</w:t>
      </w:r>
      <w:r w:rsidR="00AE54DD">
        <w:rPr>
          <w:rFonts w:cs="Times New Roman"/>
          <w:szCs w:val="32"/>
        </w:rPr>
        <w:t>凭票据在额度内据实报销</w:t>
      </w:r>
      <w:r w:rsidR="00AE54DD">
        <w:rPr>
          <w:rFonts w:cs="Times New Roman" w:hint="eastAsia"/>
          <w:szCs w:val="32"/>
        </w:rPr>
        <w:t>，超支部分由个人自理</w:t>
      </w:r>
      <w:r>
        <w:rPr>
          <w:rFonts w:cs="Times New Roman"/>
          <w:szCs w:val="32"/>
        </w:rPr>
        <w:t>；</w:t>
      </w:r>
      <w:r>
        <w:rPr>
          <w:rFonts w:cs="Times New Roman" w:hint="eastAsia"/>
          <w:szCs w:val="32"/>
        </w:rPr>
        <w:t>（</w:t>
      </w:r>
      <w:r>
        <w:rPr>
          <w:rFonts w:cs="Times New Roman" w:hint="eastAsia"/>
          <w:szCs w:val="32"/>
        </w:rPr>
        <w:t>3</w:t>
      </w:r>
      <w:r>
        <w:rPr>
          <w:rFonts w:cs="Times New Roman" w:hint="eastAsia"/>
          <w:szCs w:val="32"/>
        </w:rPr>
        <w:t>）按规定提供相关附件。</w:t>
      </w:r>
      <w:r>
        <w:rPr>
          <w:rFonts w:cs="Times New Roman"/>
          <w:szCs w:val="32"/>
        </w:rPr>
        <w:t>单次支出在</w:t>
      </w:r>
      <w:r>
        <w:rPr>
          <w:rFonts w:cs="Times New Roman"/>
          <w:szCs w:val="32"/>
        </w:rPr>
        <w:t>2000</w:t>
      </w:r>
      <w:r>
        <w:rPr>
          <w:rFonts w:cs="Times New Roman"/>
          <w:szCs w:val="32"/>
        </w:rPr>
        <w:t>元以内的科研业务接待费</w:t>
      </w:r>
      <w:r w:rsidR="00AE54DD">
        <w:rPr>
          <w:rFonts w:cs="Times New Roman" w:hint="eastAsia"/>
          <w:szCs w:val="32"/>
        </w:rPr>
        <w:t>，</w:t>
      </w:r>
      <w:r>
        <w:rPr>
          <w:rFonts w:cs="Times New Roman"/>
          <w:szCs w:val="32"/>
        </w:rPr>
        <w:t>报销时可不附</w:t>
      </w:r>
      <w:r w:rsidR="00AE54DD">
        <w:rPr>
          <w:rFonts w:cs="Times New Roman" w:hint="eastAsia"/>
          <w:szCs w:val="32"/>
        </w:rPr>
        <w:t>邀请函和</w:t>
      </w:r>
      <w:r>
        <w:rPr>
          <w:rFonts w:cs="Times New Roman"/>
          <w:szCs w:val="32"/>
        </w:rPr>
        <w:t>菜单</w:t>
      </w:r>
      <w:r w:rsidRPr="00556D33">
        <w:rPr>
          <w:rFonts w:cs="Times New Roman" w:hint="eastAsia"/>
          <w:szCs w:val="32"/>
        </w:rPr>
        <w:t>。</w:t>
      </w:r>
    </w:p>
    <w:p w:rsidR="00FB54CA" w:rsidRPr="00BA1898" w14:paraId="3DFE45E4" w14:textId="35066E1C">
      <w:pPr>
        <w:spacing w:line="560" w:lineRule="exact"/>
        <w:ind w:firstLine="645"/>
        <w:jc w:val="both"/>
        <w:rPr>
          <w:rFonts w:cs="Times New Roman"/>
          <w:b/>
          <w:szCs w:val="32"/>
        </w:rPr>
      </w:pPr>
      <w:r>
        <w:rPr>
          <w:rFonts w:cs="Times New Roman"/>
          <w:b/>
          <w:szCs w:val="32"/>
        </w:rPr>
        <w:t>5</w:t>
      </w:r>
      <w:r w:rsidRPr="00BA1898" w:rsidR="00423AC2">
        <w:rPr>
          <w:rFonts w:cs="Times New Roman" w:hint="eastAsia"/>
          <w:b/>
          <w:szCs w:val="32"/>
        </w:rPr>
        <w:t>．旧项目是否可以按照上述横向科研项目预算比例做预算？</w:t>
      </w:r>
    </w:p>
    <w:p w:rsidR="001D5E15" w:rsidP="00F74209" w14:paraId="0425BA64" w14:textId="0907AA8D">
      <w:pPr>
        <w:spacing w:line="560" w:lineRule="exact"/>
        <w:ind w:firstLine="645"/>
        <w:jc w:val="both"/>
        <w:rPr>
          <w:rFonts w:cs="Times New Roman"/>
          <w:szCs w:val="32"/>
        </w:rPr>
      </w:pPr>
      <w:r>
        <w:rPr>
          <w:rFonts w:cs="Times New Roman" w:hint="eastAsia"/>
          <w:szCs w:val="32"/>
        </w:rPr>
        <w:t>答：</w:t>
      </w:r>
      <w:r w:rsidRPr="00512FAC">
        <w:rPr>
          <w:rFonts w:cs="Times New Roman"/>
          <w:szCs w:val="32"/>
        </w:rPr>
        <w:t>2022</w:t>
      </w:r>
      <w:r w:rsidRPr="00512FAC">
        <w:rPr>
          <w:rFonts w:cs="Times New Roman" w:hint="eastAsia"/>
          <w:szCs w:val="32"/>
        </w:rPr>
        <w:t>年</w:t>
      </w:r>
      <w:r w:rsidRPr="00512FAC">
        <w:rPr>
          <w:rFonts w:cs="Times New Roman"/>
          <w:szCs w:val="32"/>
        </w:rPr>
        <w:t>12</w:t>
      </w:r>
      <w:r w:rsidRPr="00512FAC">
        <w:rPr>
          <w:rFonts w:cs="Times New Roman" w:hint="eastAsia"/>
          <w:szCs w:val="32"/>
        </w:rPr>
        <w:t>月</w:t>
      </w:r>
      <w:r w:rsidRPr="00512FAC">
        <w:rPr>
          <w:rFonts w:cs="Times New Roman"/>
          <w:szCs w:val="32"/>
        </w:rPr>
        <w:t>1</w:t>
      </w:r>
      <w:r w:rsidRPr="00512FAC">
        <w:rPr>
          <w:rFonts w:cs="Times New Roman" w:hint="eastAsia"/>
          <w:szCs w:val="32"/>
        </w:rPr>
        <w:t>日后新签订的合同全部按照新管理办法制定预算；</w:t>
      </w:r>
      <w:r w:rsidRPr="00512FAC">
        <w:rPr>
          <w:rFonts w:cs="Times New Roman"/>
          <w:szCs w:val="32"/>
        </w:rPr>
        <w:t>2022</w:t>
      </w:r>
      <w:r w:rsidRPr="00512FAC">
        <w:rPr>
          <w:rFonts w:cs="Times New Roman" w:hint="eastAsia"/>
          <w:szCs w:val="32"/>
        </w:rPr>
        <w:t>年</w:t>
      </w:r>
      <w:r w:rsidRPr="00512FAC">
        <w:rPr>
          <w:rFonts w:cs="Times New Roman"/>
          <w:szCs w:val="32"/>
        </w:rPr>
        <w:t>12</w:t>
      </w:r>
      <w:r w:rsidRPr="00512FAC">
        <w:rPr>
          <w:rFonts w:cs="Times New Roman" w:hint="eastAsia"/>
          <w:szCs w:val="32"/>
        </w:rPr>
        <w:t>月</w:t>
      </w:r>
      <w:r w:rsidRPr="00512FAC">
        <w:rPr>
          <w:rFonts w:cs="Times New Roman"/>
          <w:szCs w:val="32"/>
        </w:rPr>
        <w:t>1</w:t>
      </w:r>
      <w:r w:rsidRPr="00512FAC">
        <w:rPr>
          <w:rFonts w:cs="Times New Roman" w:hint="eastAsia"/>
          <w:szCs w:val="32"/>
        </w:rPr>
        <w:t>日前已签订合同，但是尚未在科研管理协同创新服务平台办理项目启动审核的项目，按照新管理办法制定预算，如合同约定与新管理办法相冲突的，按照合同约定制定预算；</w:t>
      </w:r>
      <w:r w:rsidRPr="00512FAC">
        <w:rPr>
          <w:rFonts w:cs="Times New Roman"/>
          <w:szCs w:val="32"/>
        </w:rPr>
        <w:t>2022</w:t>
      </w:r>
      <w:r w:rsidRPr="00512FAC">
        <w:rPr>
          <w:rFonts w:cs="Times New Roman" w:hint="eastAsia"/>
          <w:szCs w:val="32"/>
        </w:rPr>
        <w:t>年</w:t>
      </w:r>
      <w:r w:rsidRPr="00512FAC">
        <w:rPr>
          <w:rFonts w:cs="Times New Roman"/>
          <w:szCs w:val="32"/>
        </w:rPr>
        <w:t>12</w:t>
      </w:r>
      <w:r w:rsidRPr="00512FAC">
        <w:rPr>
          <w:rFonts w:cs="Times New Roman" w:hint="eastAsia"/>
          <w:szCs w:val="32"/>
        </w:rPr>
        <w:t>月</w:t>
      </w:r>
      <w:r w:rsidRPr="00512FAC">
        <w:rPr>
          <w:rFonts w:cs="Times New Roman"/>
          <w:szCs w:val="32"/>
        </w:rPr>
        <w:t>1</w:t>
      </w:r>
      <w:r w:rsidRPr="00512FAC">
        <w:rPr>
          <w:rFonts w:cs="Times New Roman" w:hint="eastAsia"/>
          <w:szCs w:val="32"/>
        </w:rPr>
        <w:t>日</w:t>
      </w:r>
      <w:r>
        <w:rPr>
          <w:rFonts w:cs="Times New Roman" w:hint="eastAsia"/>
          <w:szCs w:val="32"/>
        </w:rPr>
        <w:t>前已经在科研管理协同创新服务平台完成项目立项审核的项目仍按照原预</w:t>
      </w:r>
      <w:r>
        <w:rPr>
          <w:rFonts w:cs="Times New Roman" w:hint="eastAsia"/>
          <w:szCs w:val="32"/>
        </w:rPr>
        <w:t>算科目和预算比例执行，不再按照新管理办法调整预算及预算科目，如需调整预算，比例限制仍按照旧管理办法执行。</w:t>
      </w:r>
      <w:r w:rsidR="008C6172">
        <w:rPr>
          <w:rFonts w:cs="Times New Roman" w:hint="eastAsia"/>
          <w:szCs w:val="32"/>
        </w:rPr>
        <w:t>学校管理费比例的调整</w:t>
      </w:r>
      <w:r w:rsidR="00B92B87">
        <w:rPr>
          <w:rFonts w:cs="Times New Roman" w:hint="eastAsia"/>
          <w:szCs w:val="32"/>
        </w:rPr>
        <w:t>及时间</w:t>
      </w:r>
      <w:r w:rsidR="00227178">
        <w:rPr>
          <w:rFonts w:cs="Times New Roman" w:hint="eastAsia"/>
          <w:szCs w:val="32"/>
        </w:rPr>
        <w:t>线</w:t>
      </w:r>
      <w:r w:rsidR="008C6172">
        <w:rPr>
          <w:rFonts w:cs="Times New Roman" w:hint="eastAsia"/>
          <w:szCs w:val="32"/>
        </w:rPr>
        <w:t>以第</w:t>
      </w:r>
      <w:r w:rsidR="001D54AB">
        <w:rPr>
          <w:rFonts w:cs="Times New Roman"/>
          <w:szCs w:val="32"/>
        </w:rPr>
        <w:t>2</w:t>
      </w:r>
      <w:r w:rsidR="008C6172">
        <w:rPr>
          <w:rFonts w:cs="Times New Roman" w:hint="eastAsia"/>
          <w:szCs w:val="32"/>
        </w:rPr>
        <w:t>条为准。</w:t>
      </w:r>
    </w:p>
    <w:p w:rsidR="00FB54CA" w:rsidRPr="00BA1898" w14:paraId="556F360C" w14:textId="1D4C19F1">
      <w:pPr>
        <w:spacing w:line="560" w:lineRule="exact"/>
        <w:ind w:firstLine="645"/>
        <w:jc w:val="both"/>
        <w:rPr>
          <w:rFonts w:cs="Times New Roman"/>
          <w:b/>
          <w:szCs w:val="32"/>
        </w:rPr>
      </w:pPr>
      <w:r>
        <w:rPr>
          <w:rFonts w:cs="Times New Roman"/>
          <w:b/>
          <w:szCs w:val="32"/>
        </w:rPr>
        <w:t>6</w:t>
      </w:r>
      <w:r w:rsidRPr="00BA1898" w:rsidR="00423AC2">
        <w:rPr>
          <w:rFonts w:cs="Times New Roman" w:hint="eastAsia"/>
          <w:b/>
          <w:szCs w:val="32"/>
        </w:rPr>
        <w:t>．横向科研项目经费开支专家咨询费的标准是多少？</w:t>
      </w:r>
    </w:p>
    <w:p w:rsidR="00FB54CA" w14:paraId="26795CDA" w14:textId="77777777">
      <w:pPr>
        <w:spacing w:line="560" w:lineRule="exact"/>
        <w:ind w:firstLine="640" w:firstLineChars="200"/>
        <w:jc w:val="both"/>
        <w:rPr>
          <w:rFonts w:cs="Times New Roman"/>
          <w:szCs w:val="32"/>
        </w:rPr>
      </w:pPr>
      <w:r>
        <w:rPr>
          <w:rFonts w:cs="Times New Roman" w:hint="eastAsia"/>
          <w:szCs w:val="32"/>
        </w:rPr>
        <w:t>答：横向科研项目专家咨询</w:t>
      </w:r>
      <w:r>
        <w:rPr>
          <w:rFonts w:cs="Times New Roman" w:hint="eastAsia"/>
          <w:szCs w:val="32"/>
        </w:rPr>
        <w:t>费执行</w:t>
      </w:r>
      <w:r>
        <w:rPr>
          <w:rFonts w:cs="Times New Roman" w:hint="eastAsia"/>
          <w:szCs w:val="32"/>
        </w:rPr>
        <w:t>《中山大学科研项目专家咨询费、信息采集费发放管理细则》（中大财务〔</w:t>
      </w:r>
      <w:r>
        <w:rPr>
          <w:rFonts w:cs="Times New Roman"/>
          <w:szCs w:val="32"/>
        </w:rPr>
        <w:t>2022</w:t>
      </w:r>
      <w:r>
        <w:rPr>
          <w:rFonts w:cs="Times New Roman" w:hint="eastAsia"/>
          <w:szCs w:val="32"/>
        </w:rPr>
        <w:t>〕</w:t>
      </w:r>
      <w:r>
        <w:rPr>
          <w:rFonts w:cs="Times New Roman" w:hint="eastAsia"/>
          <w:szCs w:val="32"/>
        </w:rPr>
        <w:t>5</w:t>
      </w:r>
      <w:r>
        <w:rPr>
          <w:rFonts w:cs="Times New Roman" w:hint="eastAsia"/>
          <w:szCs w:val="32"/>
        </w:rPr>
        <w:t>号），开支标准可在上述文件第五条第（一）项规定税前参考标准的基础上上浮不超过</w:t>
      </w:r>
      <w:r>
        <w:rPr>
          <w:rFonts w:cs="Times New Roman" w:hint="eastAsia"/>
          <w:szCs w:val="32"/>
        </w:rPr>
        <w:t>1</w:t>
      </w:r>
      <w:r>
        <w:rPr>
          <w:rFonts w:cs="Times New Roman"/>
          <w:szCs w:val="32"/>
        </w:rPr>
        <w:t>50%</w:t>
      </w:r>
      <w:r>
        <w:rPr>
          <w:rFonts w:cs="Times New Roman" w:hint="eastAsia"/>
          <w:szCs w:val="32"/>
        </w:rPr>
        <w:t>，即最高可按国家标准的</w:t>
      </w:r>
      <w:r>
        <w:rPr>
          <w:rFonts w:cs="Times New Roman" w:hint="eastAsia"/>
          <w:szCs w:val="32"/>
        </w:rPr>
        <w:t>2</w:t>
      </w:r>
      <w:r>
        <w:rPr>
          <w:rFonts w:cs="Times New Roman"/>
          <w:szCs w:val="32"/>
        </w:rPr>
        <w:t>.5</w:t>
      </w:r>
      <w:r>
        <w:rPr>
          <w:rFonts w:cs="Times New Roman" w:hint="eastAsia"/>
          <w:szCs w:val="32"/>
        </w:rPr>
        <w:t>倍执行。如有更新的，以学校最新文件为准。</w:t>
      </w:r>
    </w:p>
    <w:p w:rsidR="00FB54CA" w:rsidRPr="00C1763E" w14:paraId="26138E3C" w14:textId="67E08733">
      <w:pPr>
        <w:spacing w:line="580" w:lineRule="atLeast"/>
        <w:ind w:firstLine="640" w:firstLineChars="200"/>
        <w:jc w:val="both"/>
        <w:rPr>
          <w:rFonts w:cs="Times New Roman"/>
          <w:b/>
          <w:szCs w:val="32"/>
        </w:rPr>
      </w:pPr>
      <w:r>
        <w:rPr>
          <w:rFonts w:cs="Times New Roman"/>
          <w:b/>
          <w:szCs w:val="32"/>
        </w:rPr>
        <w:t>7</w:t>
      </w:r>
      <w:r w:rsidRPr="00C1763E" w:rsidR="00423AC2">
        <w:rPr>
          <w:rFonts w:cs="Times New Roman" w:hint="eastAsia"/>
          <w:b/>
          <w:szCs w:val="32"/>
        </w:rPr>
        <w:t>．横向结余经费是否可以按照横向科研项目的标准和报销要求开支经费？</w:t>
      </w:r>
    </w:p>
    <w:p w:rsidR="00FB54CA" w14:paraId="5744641E" w14:textId="77777777">
      <w:pPr>
        <w:spacing w:line="580" w:lineRule="atLeast"/>
        <w:ind w:firstLine="640" w:firstLineChars="200"/>
        <w:jc w:val="both"/>
        <w:rPr>
          <w:rFonts w:cs="Times New Roman"/>
          <w:szCs w:val="32"/>
        </w:rPr>
      </w:pPr>
      <w:r>
        <w:rPr>
          <w:rFonts w:cs="Times New Roman" w:hint="eastAsia"/>
          <w:szCs w:val="32"/>
        </w:rPr>
        <w:t>答：可以。</w:t>
      </w:r>
    </w:p>
    <w:p w:rsidR="00FB54CA" w:rsidRPr="00F74209" w14:paraId="75C1C84F" w14:textId="64CDBB0D">
      <w:pPr>
        <w:spacing w:line="580" w:lineRule="atLeast"/>
        <w:ind w:firstLine="640" w:firstLineChars="200"/>
        <w:jc w:val="both"/>
        <w:rPr>
          <w:rFonts w:cs="Times New Roman"/>
          <w:b/>
          <w:szCs w:val="32"/>
        </w:rPr>
      </w:pPr>
      <w:r>
        <w:rPr>
          <w:rFonts w:cs="Times New Roman"/>
          <w:b/>
          <w:szCs w:val="32"/>
        </w:rPr>
        <w:t>8</w:t>
      </w:r>
      <w:r w:rsidRPr="00F74209" w:rsidR="00423AC2">
        <w:rPr>
          <w:rFonts w:cs="Times New Roman" w:hint="eastAsia"/>
          <w:b/>
          <w:szCs w:val="32"/>
        </w:rPr>
        <w:t>．横向科研项目绩效支出的报销程序是什么？</w:t>
      </w:r>
    </w:p>
    <w:p w:rsidR="00FB54CA" w14:paraId="262E70BE" w14:textId="5A02E859">
      <w:pPr>
        <w:spacing w:line="580" w:lineRule="atLeast"/>
        <w:ind w:firstLine="640" w:firstLineChars="200"/>
        <w:jc w:val="both"/>
        <w:rPr>
          <w:rFonts w:cs="Times New Roman"/>
          <w:szCs w:val="32"/>
        </w:rPr>
      </w:pPr>
      <w:r>
        <w:rPr>
          <w:rFonts w:cs="Times New Roman" w:hint="eastAsia"/>
          <w:szCs w:val="32"/>
        </w:rPr>
        <w:t>答：绩效支出的发放由项目负责人在预算内进行审批，不再限制项目负责人本人领取比例，发放对象为对项目执行做出实际贡献的人员，根据参加人员在项目中的贡献合理确定。项目负责人在财务管理信息系统的薪酬个税系统</w:t>
      </w:r>
      <w:r>
        <w:rPr>
          <w:rFonts w:cs="Times New Roman" w:hint="eastAsia"/>
          <w:szCs w:val="32"/>
        </w:rPr>
        <w:t>提交网</w:t>
      </w:r>
      <w:r w:rsidR="002A3866">
        <w:rPr>
          <w:rFonts w:cs="Times New Roman" w:hint="eastAsia"/>
          <w:szCs w:val="32"/>
        </w:rPr>
        <w:t>报单即可，不需要再提交《绩效发放申领表》，无须</w:t>
      </w:r>
      <w:r w:rsidR="00046678">
        <w:rPr>
          <w:rFonts w:cs="Times New Roman" w:hint="eastAsia"/>
          <w:szCs w:val="32"/>
        </w:rPr>
        <w:t>再提交</w:t>
      </w:r>
      <w:r w:rsidR="002A3866">
        <w:rPr>
          <w:rFonts w:cs="Times New Roman" w:hint="eastAsia"/>
          <w:szCs w:val="32"/>
        </w:rPr>
        <w:t>科研管理部门审核。</w:t>
      </w:r>
    </w:p>
    <w:p w:rsidR="00FB54CA" w:rsidRPr="00F74209" w14:paraId="5EA7EE2E" w14:textId="6132AA45">
      <w:pPr>
        <w:spacing w:line="580" w:lineRule="atLeast"/>
        <w:ind w:firstLine="640" w:firstLineChars="200"/>
        <w:jc w:val="both"/>
        <w:rPr>
          <w:rFonts w:cs="Times New Roman"/>
          <w:b/>
          <w:szCs w:val="32"/>
        </w:rPr>
      </w:pPr>
      <w:r>
        <w:rPr>
          <w:rFonts w:cs="Times New Roman"/>
          <w:b/>
          <w:szCs w:val="32"/>
        </w:rPr>
        <w:t>9</w:t>
      </w:r>
      <w:r w:rsidRPr="00F74209" w:rsidR="00423AC2">
        <w:rPr>
          <w:rFonts w:cs="Times New Roman" w:hint="eastAsia"/>
          <w:b/>
          <w:szCs w:val="32"/>
        </w:rPr>
        <w:t>．横向科研项目预算调整</w:t>
      </w:r>
      <w:r w:rsidR="0012043F">
        <w:rPr>
          <w:rFonts w:cs="Times New Roman" w:hint="eastAsia"/>
          <w:b/>
          <w:szCs w:val="32"/>
        </w:rPr>
        <w:t>需要科学研究院审核吗？调整</w:t>
      </w:r>
      <w:r w:rsidRPr="00F74209" w:rsidR="00423AC2">
        <w:rPr>
          <w:rFonts w:cs="Times New Roman" w:hint="eastAsia"/>
          <w:b/>
          <w:szCs w:val="32"/>
        </w:rPr>
        <w:t>程序是什么？</w:t>
      </w:r>
    </w:p>
    <w:p w:rsidR="00FB54CA" w14:paraId="6B694DA6" w14:textId="7E2E71E5">
      <w:pPr>
        <w:spacing w:line="580" w:lineRule="atLeast"/>
        <w:ind w:firstLine="640" w:firstLineChars="200"/>
        <w:jc w:val="both"/>
        <w:rPr>
          <w:rFonts w:cs="Times New Roman"/>
          <w:szCs w:val="32"/>
        </w:rPr>
      </w:pPr>
      <w:r>
        <w:rPr>
          <w:rFonts w:cs="Times New Roman" w:hint="eastAsia"/>
          <w:szCs w:val="32"/>
        </w:rPr>
        <w:t>答：</w:t>
      </w:r>
      <w:r w:rsidR="0012043F">
        <w:rPr>
          <w:rFonts w:cs="Times New Roman" w:hint="eastAsia"/>
          <w:szCs w:val="32"/>
        </w:rPr>
        <w:t>不需要，</w:t>
      </w:r>
      <w:r>
        <w:rPr>
          <w:rFonts w:cs="Times New Roman" w:hint="eastAsia"/>
          <w:szCs w:val="32"/>
        </w:rPr>
        <w:t>横向科研项目预算调整程序下放至学院，由项目负责人在科研管理协同创新服务平台提出预算调整申请，学院审核后系统自动推送至财务管理信息系统完成变</w:t>
      </w:r>
      <w:r>
        <w:rPr>
          <w:rFonts w:cs="Times New Roman" w:hint="eastAsia"/>
          <w:szCs w:val="32"/>
        </w:rPr>
        <w:t>更。</w:t>
      </w:r>
    </w:p>
    <w:p w:rsidR="00CE2D41" w:rsidP="00CE2D41" w14:paraId="68938681" w14:textId="223C8443">
      <w:pPr>
        <w:spacing w:line="580" w:lineRule="atLeast"/>
        <w:ind w:firstLine="640" w:firstLineChars="200"/>
        <w:jc w:val="both"/>
        <w:rPr>
          <w:rFonts w:cs="Times New Roman"/>
          <w:szCs w:val="32"/>
        </w:rPr>
      </w:pPr>
      <w:r>
        <w:rPr>
          <w:rFonts w:cs="Times New Roman" w:hint="eastAsia"/>
          <w:szCs w:val="32"/>
        </w:rPr>
        <w:t>学院审核要点：（</w:t>
      </w:r>
      <w:r>
        <w:rPr>
          <w:rFonts w:cs="Times New Roman" w:hint="eastAsia"/>
          <w:szCs w:val="32"/>
        </w:rPr>
        <w:t>1</w:t>
      </w:r>
      <w:r>
        <w:rPr>
          <w:rFonts w:cs="Times New Roman" w:hint="eastAsia"/>
          <w:szCs w:val="32"/>
        </w:rPr>
        <w:t>）合同有预算约定或委托方对经费使用有明确要求的，预算调整需征得委托方书面同意；（</w:t>
      </w:r>
      <w:r>
        <w:rPr>
          <w:rFonts w:cs="Times New Roman" w:hint="eastAsia"/>
          <w:szCs w:val="32"/>
        </w:rPr>
        <w:t>2</w:t>
      </w:r>
      <w:r>
        <w:rPr>
          <w:rFonts w:cs="Times New Roman" w:hint="eastAsia"/>
          <w:szCs w:val="32"/>
        </w:rPr>
        <w:t>）原则上管理费科目不得调减。如有特殊情况需报科学研究院审批；（</w:t>
      </w:r>
      <w:r>
        <w:rPr>
          <w:rFonts w:cs="Times New Roman" w:hint="eastAsia"/>
          <w:szCs w:val="32"/>
        </w:rPr>
        <w:t>3</w:t>
      </w:r>
      <w:r>
        <w:rPr>
          <w:rFonts w:cs="Times New Roman" w:hint="eastAsia"/>
          <w:szCs w:val="32"/>
        </w:rPr>
        <w:t>）仅在</w:t>
      </w:r>
      <w:r>
        <w:rPr>
          <w:rFonts w:cs="Times New Roman" w:hint="eastAsia"/>
          <w:szCs w:val="32"/>
        </w:rPr>
        <w:t>研</w:t>
      </w:r>
      <w:r>
        <w:rPr>
          <w:rFonts w:cs="Times New Roman" w:hint="eastAsia"/>
          <w:szCs w:val="32"/>
        </w:rPr>
        <w:t>项目可申请调整预算；（</w:t>
      </w:r>
      <w:r>
        <w:rPr>
          <w:rFonts w:cs="Times New Roman" w:hint="eastAsia"/>
          <w:szCs w:val="32"/>
        </w:rPr>
        <w:t>4</w:t>
      </w:r>
      <w:r>
        <w:rPr>
          <w:rFonts w:cs="Times New Roman" w:hint="eastAsia"/>
          <w:szCs w:val="32"/>
        </w:rPr>
        <w:t>）除合同另有约定外，有比例上限限制的科目调整后不得超过学校规定的上限比例。</w:t>
      </w:r>
    </w:p>
    <w:p w:rsidR="004F42D8" w:rsidRPr="004F42D8" w:rsidP="00CE2D41" w14:paraId="06AACB12" w14:textId="615FB19A">
      <w:pPr>
        <w:spacing w:line="580" w:lineRule="atLeast"/>
        <w:ind w:firstLine="640" w:firstLineChars="200"/>
        <w:jc w:val="both"/>
        <w:rPr>
          <w:rFonts w:cs="Times New Roman"/>
          <w:b/>
          <w:szCs w:val="32"/>
        </w:rPr>
      </w:pPr>
      <w:r w:rsidRPr="004F42D8">
        <w:rPr>
          <w:rFonts w:cs="Times New Roman" w:hint="eastAsia"/>
          <w:b/>
          <w:szCs w:val="32"/>
        </w:rPr>
        <w:t>1</w:t>
      </w:r>
      <w:r w:rsidRPr="004F42D8">
        <w:rPr>
          <w:rFonts w:cs="Times New Roman"/>
          <w:b/>
          <w:szCs w:val="32"/>
        </w:rPr>
        <w:t xml:space="preserve">0. </w:t>
      </w:r>
      <w:r w:rsidRPr="004F42D8">
        <w:rPr>
          <w:rFonts w:cs="Times New Roman" w:hint="eastAsia"/>
          <w:b/>
          <w:szCs w:val="32"/>
        </w:rPr>
        <w:t>本制度问答适用范围是？</w:t>
      </w:r>
    </w:p>
    <w:p w:rsidR="004F42D8" w:rsidRPr="00CE2D41" w:rsidP="00CE2D41" w14:paraId="2F2D516A" w14:textId="190C7FD7">
      <w:pPr>
        <w:spacing w:line="580" w:lineRule="atLeast"/>
        <w:ind w:firstLine="640" w:firstLineChars="200"/>
        <w:jc w:val="both"/>
        <w:rPr>
          <w:rFonts w:cs="Times New Roman"/>
          <w:szCs w:val="32"/>
        </w:rPr>
      </w:pPr>
      <w:r>
        <w:rPr>
          <w:rFonts w:cs="Times New Roman" w:hint="eastAsia"/>
          <w:szCs w:val="32"/>
        </w:rPr>
        <w:t>本制度问答适用范围是民口横向科研项目。</w:t>
      </w:r>
    </w:p>
    <w:sectPr w:rsidSect="000628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Time">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EE9"/>
    <w:rsid w:val="000169C3"/>
    <w:rsid w:val="0003139F"/>
    <w:rsid w:val="00046678"/>
    <w:rsid w:val="00054214"/>
    <w:rsid w:val="00062834"/>
    <w:rsid w:val="00080BE9"/>
    <w:rsid w:val="00085FFE"/>
    <w:rsid w:val="000A72D8"/>
    <w:rsid w:val="000A73A3"/>
    <w:rsid w:val="000B68BE"/>
    <w:rsid w:val="000D7397"/>
    <w:rsid w:val="000E5009"/>
    <w:rsid w:val="000E659B"/>
    <w:rsid w:val="000E750C"/>
    <w:rsid w:val="000F0947"/>
    <w:rsid w:val="001019CC"/>
    <w:rsid w:val="00106AEF"/>
    <w:rsid w:val="00110911"/>
    <w:rsid w:val="001136AB"/>
    <w:rsid w:val="00115F0D"/>
    <w:rsid w:val="0012043F"/>
    <w:rsid w:val="00147CAD"/>
    <w:rsid w:val="00150ED1"/>
    <w:rsid w:val="00185034"/>
    <w:rsid w:val="00192E49"/>
    <w:rsid w:val="00195282"/>
    <w:rsid w:val="0019723D"/>
    <w:rsid w:val="001B1887"/>
    <w:rsid w:val="001B42BF"/>
    <w:rsid w:val="001B66AD"/>
    <w:rsid w:val="001D54AB"/>
    <w:rsid w:val="001D5E15"/>
    <w:rsid w:val="001E22D0"/>
    <w:rsid w:val="002047D0"/>
    <w:rsid w:val="00206980"/>
    <w:rsid w:val="00216C74"/>
    <w:rsid w:val="0022461B"/>
    <w:rsid w:val="00227178"/>
    <w:rsid w:val="002A3866"/>
    <w:rsid w:val="002F3EF3"/>
    <w:rsid w:val="00306E9C"/>
    <w:rsid w:val="003102C4"/>
    <w:rsid w:val="003163CC"/>
    <w:rsid w:val="003401C0"/>
    <w:rsid w:val="00351DE7"/>
    <w:rsid w:val="003550FB"/>
    <w:rsid w:val="00364B44"/>
    <w:rsid w:val="0038734B"/>
    <w:rsid w:val="003A2E3B"/>
    <w:rsid w:val="003A65C0"/>
    <w:rsid w:val="003B0377"/>
    <w:rsid w:val="003B75A6"/>
    <w:rsid w:val="003D3A8B"/>
    <w:rsid w:val="003D7BF6"/>
    <w:rsid w:val="00406E13"/>
    <w:rsid w:val="00412E6D"/>
    <w:rsid w:val="00413F51"/>
    <w:rsid w:val="00423AC2"/>
    <w:rsid w:val="004400CD"/>
    <w:rsid w:val="00463FA0"/>
    <w:rsid w:val="004768D0"/>
    <w:rsid w:val="00484099"/>
    <w:rsid w:val="00491DCE"/>
    <w:rsid w:val="004D4AE7"/>
    <w:rsid w:val="004D53F2"/>
    <w:rsid w:val="004F0671"/>
    <w:rsid w:val="004F42D8"/>
    <w:rsid w:val="00512FAC"/>
    <w:rsid w:val="00524C4B"/>
    <w:rsid w:val="0053541A"/>
    <w:rsid w:val="005508AC"/>
    <w:rsid w:val="00554CB8"/>
    <w:rsid w:val="00555BB3"/>
    <w:rsid w:val="005567F2"/>
    <w:rsid w:val="00556D33"/>
    <w:rsid w:val="00557530"/>
    <w:rsid w:val="0056032A"/>
    <w:rsid w:val="00561335"/>
    <w:rsid w:val="005616D5"/>
    <w:rsid w:val="00562997"/>
    <w:rsid w:val="00573674"/>
    <w:rsid w:val="0058502B"/>
    <w:rsid w:val="005B0179"/>
    <w:rsid w:val="005B23F0"/>
    <w:rsid w:val="005B46A9"/>
    <w:rsid w:val="005E7988"/>
    <w:rsid w:val="005F3920"/>
    <w:rsid w:val="00623B85"/>
    <w:rsid w:val="0062750E"/>
    <w:rsid w:val="00630D26"/>
    <w:rsid w:val="00632DC3"/>
    <w:rsid w:val="00635AFD"/>
    <w:rsid w:val="00645A38"/>
    <w:rsid w:val="00653AAF"/>
    <w:rsid w:val="0066656E"/>
    <w:rsid w:val="006A01E8"/>
    <w:rsid w:val="006B1208"/>
    <w:rsid w:val="006B3A93"/>
    <w:rsid w:val="006D0291"/>
    <w:rsid w:val="006D3D40"/>
    <w:rsid w:val="006E2DB5"/>
    <w:rsid w:val="00703C1C"/>
    <w:rsid w:val="00721CB4"/>
    <w:rsid w:val="00722171"/>
    <w:rsid w:val="00733724"/>
    <w:rsid w:val="007504C2"/>
    <w:rsid w:val="0075222C"/>
    <w:rsid w:val="007566BA"/>
    <w:rsid w:val="00790CAB"/>
    <w:rsid w:val="00797AFA"/>
    <w:rsid w:val="007A0798"/>
    <w:rsid w:val="007A6DDB"/>
    <w:rsid w:val="007B249A"/>
    <w:rsid w:val="007D0521"/>
    <w:rsid w:val="007F21F2"/>
    <w:rsid w:val="00811AFA"/>
    <w:rsid w:val="00817071"/>
    <w:rsid w:val="00820668"/>
    <w:rsid w:val="00822724"/>
    <w:rsid w:val="008235EB"/>
    <w:rsid w:val="00840F74"/>
    <w:rsid w:val="0084637B"/>
    <w:rsid w:val="008466F4"/>
    <w:rsid w:val="0087222C"/>
    <w:rsid w:val="00892A5A"/>
    <w:rsid w:val="008B590A"/>
    <w:rsid w:val="008C6172"/>
    <w:rsid w:val="008C6BE9"/>
    <w:rsid w:val="008D010E"/>
    <w:rsid w:val="008F27F0"/>
    <w:rsid w:val="008F4A64"/>
    <w:rsid w:val="00910E45"/>
    <w:rsid w:val="00914F68"/>
    <w:rsid w:val="0091738E"/>
    <w:rsid w:val="00917813"/>
    <w:rsid w:val="0094079D"/>
    <w:rsid w:val="00970FAF"/>
    <w:rsid w:val="0098280B"/>
    <w:rsid w:val="009843EC"/>
    <w:rsid w:val="009A6F76"/>
    <w:rsid w:val="009E2AE7"/>
    <w:rsid w:val="009F6083"/>
    <w:rsid w:val="00A0245E"/>
    <w:rsid w:val="00A464EC"/>
    <w:rsid w:val="00A52464"/>
    <w:rsid w:val="00A602B8"/>
    <w:rsid w:val="00A61ADA"/>
    <w:rsid w:val="00A63EFD"/>
    <w:rsid w:val="00A6550A"/>
    <w:rsid w:val="00A81567"/>
    <w:rsid w:val="00A95D73"/>
    <w:rsid w:val="00AA0485"/>
    <w:rsid w:val="00AC1D54"/>
    <w:rsid w:val="00AC6828"/>
    <w:rsid w:val="00AD10BC"/>
    <w:rsid w:val="00AE54DD"/>
    <w:rsid w:val="00AF6B38"/>
    <w:rsid w:val="00AF7036"/>
    <w:rsid w:val="00B04F3B"/>
    <w:rsid w:val="00B20B05"/>
    <w:rsid w:val="00B210BC"/>
    <w:rsid w:val="00B229FE"/>
    <w:rsid w:val="00B31AC9"/>
    <w:rsid w:val="00B40C62"/>
    <w:rsid w:val="00B4153F"/>
    <w:rsid w:val="00B50859"/>
    <w:rsid w:val="00B50BA9"/>
    <w:rsid w:val="00B6066E"/>
    <w:rsid w:val="00B61073"/>
    <w:rsid w:val="00B61B87"/>
    <w:rsid w:val="00B821BE"/>
    <w:rsid w:val="00B908DB"/>
    <w:rsid w:val="00B91368"/>
    <w:rsid w:val="00B92B87"/>
    <w:rsid w:val="00B9797F"/>
    <w:rsid w:val="00BA1898"/>
    <w:rsid w:val="00BB19D7"/>
    <w:rsid w:val="00BB60AA"/>
    <w:rsid w:val="00BB77EC"/>
    <w:rsid w:val="00BC272D"/>
    <w:rsid w:val="00BD29AA"/>
    <w:rsid w:val="00BE49CA"/>
    <w:rsid w:val="00BF7038"/>
    <w:rsid w:val="00C1763E"/>
    <w:rsid w:val="00C353BE"/>
    <w:rsid w:val="00C62038"/>
    <w:rsid w:val="00C75E01"/>
    <w:rsid w:val="00C77450"/>
    <w:rsid w:val="00C77964"/>
    <w:rsid w:val="00C87CF9"/>
    <w:rsid w:val="00CA2813"/>
    <w:rsid w:val="00CA7EE9"/>
    <w:rsid w:val="00CE2D41"/>
    <w:rsid w:val="00CE47F7"/>
    <w:rsid w:val="00D05D37"/>
    <w:rsid w:val="00D14360"/>
    <w:rsid w:val="00D238DC"/>
    <w:rsid w:val="00D30131"/>
    <w:rsid w:val="00D30530"/>
    <w:rsid w:val="00D310C3"/>
    <w:rsid w:val="00D33CAD"/>
    <w:rsid w:val="00D40F8B"/>
    <w:rsid w:val="00D548D5"/>
    <w:rsid w:val="00D7651C"/>
    <w:rsid w:val="00D7699E"/>
    <w:rsid w:val="00D82F0F"/>
    <w:rsid w:val="00D83B4E"/>
    <w:rsid w:val="00D85DD4"/>
    <w:rsid w:val="00D95FAC"/>
    <w:rsid w:val="00DA22B2"/>
    <w:rsid w:val="00DC0958"/>
    <w:rsid w:val="00DC6B60"/>
    <w:rsid w:val="00DC7DDF"/>
    <w:rsid w:val="00E072D6"/>
    <w:rsid w:val="00E10E92"/>
    <w:rsid w:val="00E27AE8"/>
    <w:rsid w:val="00E47550"/>
    <w:rsid w:val="00E47591"/>
    <w:rsid w:val="00E5558B"/>
    <w:rsid w:val="00E60C84"/>
    <w:rsid w:val="00E6358D"/>
    <w:rsid w:val="00E82CA0"/>
    <w:rsid w:val="00E87943"/>
    <w:rsid w:val="00E922DE"/>
    <w:rsid w:val="00E973B1"/>
    <w:rsid w:val="00EA48DE"/>
    <w:rsid w:val="00EE07EA"/>
    <w:rsid w:val="00EF13C2"/>
    <w:rsid w:val="00F1642B"/>
    <w:rsid w:val="00F254E2"/>
    <w:rsid w:val="00F354F9"/>
    <w:rsid w:val="00F41F5C"/>
    <w:rsid w:val="00F63D48"/>
    <w:rsid w:val="00F6402E"/>
    <w:rsid w:val="00F67792"/>
    <w:rsid w:val="00F730D6"/>
    <w:rsid w:val="00F74209"/>
    <w:rsid w:val="00FA25C6"/>
    <w:rsid w:val="00FB54CA"/>
    <w:rsid w:val="00FB67D9"/>
    <w:rsid w:val="00FD67FF"/>
    <w:rsid w:val="00FE0DC0"/>
    <w:rsid w:val="00FF7983"/>
    <w:rsid w:val="28175437"/>
  </w:rsids>
  <w:docVars>
    <w:docVar w:name="commondata" w:val="eyJoZGlkIjoiZTU2NzQ4NDI2NWFlNjBlYmFiZTJkNzFkNzZmOTU2MzA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B9083B60-B43F-4FC0-AD32-92F2FC650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djustRightInd w:val="0"/>
      <w:snapToGrid w:val="0"/>
      <w:spacing w:line="540" w:lineRule="atLeast"/>
    </w:pPr>
    <w:rPr>
      <w:rFonts w:ascii="Times New Roman" w:eastAsia="仿宋_GB2312" w:hAnsi="Times New Roman"/>
      <w:kern w:val="2"/>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a"/>
    <w:uiPriority w:val="99"/>
    <w:semiHidden/>
    <w:qFormat/>
    <w:pPr>
      <w:widowControl/>
      <w:adjustRightInd/>
      <w:snapToGrid/>
      <w:spacing w:line="240" w:lineRule="auto"/>
    </w:pPr>
    <w:rPr>
      <w:rFonts w:ascii="Calibri" w:eastAsia="宋体" w:hAnsi="Calibri" w:cs="Times New Roman"/>
      <w:kern w:val="0"/>
      <w:sz w:val="20"/>
      <w:szCs w:val="20"/>
    </w:rPr>
  </w:style>
  <w:style w:type="paragraph" w:styleId="BalloonText">
    <w:name w:val="Balloon Text"/>
    <w:basedOn w:val="Normal"/>
    <w:link w:val="a0"/>
    <w:uiPriority w:val="99"/>
    <w:semiHidden/>
    <w:unhideWhenUsed/>
    <w:pPr>
      <w:spacing w:line="240" w:lineRule="auto"/>
    </w:pPr>
    <w:rPr>
      <w:sz w:val="18"/>
      <w:szCs w:val="18"/>
    </w:rPr>
  </w:style>
  <w:style w:type="table" w:styleId="TableGrid">
    <w:name w:val="Table Grid"/>
    <w:uiPriority w:val="39"/>
    <w:qFormat/>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styleId="CommentReference">
    <w:name w:val="annotation reference"/>
    <w:uiPriority w:val="99"/>
    <w:semiHidden/>
    <w:qFormat/>
    <w:rPr>
      <w:rFonts w:cs="Times New Roman"/>
      <w:sz w:val="21"/>
      <w:szCs w:val="21"/>
    </w:rPr>
  </w:style>
  <w:style w:type="character" w:customStyle="1" w:styleId="a">
    <w:name w:val="批注文字 字符"/>
    <w:basedOn w:val="DefaultParagraphFont"/>
    <w:link w:val="CommentText"/>
    <w:uiPriority w:val="99"/>
    <w:semiHidden/>
    <w:qFormat/>
    <w:rPr>
      <w:rFonts w:ascii="Calibri" w:eastAsia="宋体" w:hAnsi="Calibri" w:cs="Times New Roman"/>
      <w:kern w:val="0"/>
      <w:sz w:val="20"/>
      <w:szCs w:val="20"/>
    </w:rPr>
  </w:style>
  <w:style w:type="character" w:customStyle="1" w:styleId="a0">
    <w:name w:val="批注框文本 字符"/>
    <w:basedOn w:val="DefaultParagraphFont"/>
    <w:link w:val="BalloonText"/>
    <w:uiPriority w:val="99"/>
    <w:semiHidden/>
    <w:rPr>
      <w:rFonts w:ascii="Times New Roman" w:eastAsia="仿宋_GB2312" w:hAnsi="Times New Roman"/>
      <w:sz w:val="18"/>
      <w:szCs w:val="18"/>
    </w:rPr>
  </w:style>
  <w:style w:type="paragraph" w:styleId="CommentSubject">
    <w:name w:val="annotation subject"/>
    <w:basedOn w:val="CommentText"/>
    <w:next w:val="CommentText"/>
    <w:link w:val="a1"/>
    <w:uiPriority w:val="99"/>
    <w:semiHidden/>
    <w:unhideWhenUsed/>
    <w:rsid w:val="00970FAF"/>
    <w:pPr>
      <w:widowControl w:val="0"/>
      <w:adjustRightInd w:val="0"/>
      <w:snapToGrid w:val="0"/>
      <w:spacing w:line="540" w:lineRule="atLeast"/>
    </w:pPr>
    <w:rPr>
      <w:rFonts w:ascii="Times New Roman" w:eastAsia="仿宋_GB2312" w:hAnsi="Times New Roman" w:cstheme="minorBidi"/>
      <w:b/>
      <w:bCs/>
      <w:kern w:val="2"/>
      <w:sz w:val="32"/>
      <w:szCs w:val="21"/>
    </w:rPr>
  </w:style>
  <w:style w:type="character" w:customStyle="1" w:styleId="a1">
    <w:name w:val="批注主题 字符"/>
    <w:basedOn w:val="a"/>
    <w:link w:val="CommentSubject"/>
    <w:uiPriority w:val="99"/>
    <w:semiHidden/>
    <w:rsid w:val="00970FAF"/>
    <w:rPr>
      <w:rFonts w:ascii="Times New Roman" w:eastAsia="仿宋_GB2312" w:hAnsi="Times New Roman" w:cs="Times New Roman"/>
      <w:b/>
      <w:bCs/>
      <w:kern w:val="2"/>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A0686-AEA5-4E91-8E52-C64DE1058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419</Words>
  <Characters>2394</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珍</dc:creator>
  <cp:lastModifiedBy>kjccxbd</cp:lastModifiedBy>
  <cp:revision>26</cp:revision>
  <dcterms:created xsi:type="dcterms:W3CDTF">2023-01-03T09:49:00Z</dcterms:created>
  <dcterms:modified xsi:type="dcterms:W3CDTF">2023-01-04T07:22:00Z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BEB388A7C4B041BFA1FB9BAA4AEE39F3</vt:lpwstr>
  </property>
  <property fmtid="{D5CDD505-2E9C-101B-9397-08002B2CF9AE}" pid="3" name="KSOProductBuildVer">
    <vt:lpwstr>2052-11.1.0.12763</vt:lpwstr>
  </property>
</Properties>
</file>